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77EDC" w14:textId="68B35E25" w:rsidR="00E66016" w:rsidRDefault="00E66016" w:rsidP="00BD3BE0">
      <w:pPr>
        <w:pStyle w:val="Title"/>
        <w:jc w:val="center"/>
        <w:rPr>
          <w:rFonts w:ascii="Arial" w:hAnsi="Arial"/>
          <w:b/>
          <w:sz w:val="32"/>
        </w:rPr>
      </w:pPr>
      <w:r w:rsidRPr="00E66016">
        <w:rPr>
          <w:rFonts w:ascii="Arial" w:hAnsi="Arial"/>
          <w:b/>
          <w:sz w:val="32"/>
        </w:rPr>
        <w:t>From Vague to Actionable:</w:t>
      </w:r>
      <w:r w:rsidR="004B166B">
        <w:rPr>
          <w:rFonts w:ascii="Arial" w:hAnsi="Arial"/>
          <w:b/>
          <w:sz w:val="32"/>
        </w:rPr>
        <w:t xml:space="preserve"> Sharpening</w:t>
      </w:r>
      <w:r w:rsidRPr="00E66016">
        <w:rPr>
          <w:rFonts w:ascii="Arial" w:hAnsi="Arial"/>
          <w:b/>
          <w:sz w:val="32"/>
        </w:rPr>
        <w:t xml:space="preserve"> Emergency Management Language</w:t>
      </w:r>
    </w:p>
    <w:p w14:paraId="1BE11B50" w14:textId="77777777" w:rsidR="00E66016" w:rsidRDefault="00E66016">
      <w:pPr>
        <w:pStyle w:val="Title"/>
        <w:rPr>
          <w:rFonts w:ascii="Arial" w:hAnsi="Arial"/>
          <w:b/>
          <w:sz w:val="32"/>
        </w:rPr>
      </w:pPr>
    </w:p>
    <w:p w14:paraId="710BFB2F" w14:textId="77777777" w:rsidR="0041696F" w:rsidRDefault="00E66016" w:rsidP="00BD3BE0">
      <w:pPr>
        <w:pStyle w:val="Title"/>
        <w:jc w:val="center"/>
        <w:rPr>
          <w:rFonts w:ascii="Arial" w:hAnsi="Arial"/>
          <w:b/>
          <w:sz w:val="28"/>
          <w:szCs w:val="48"/>
        </w:rPr>
      </w:pPr>
      <w:r w:rsidRPr="00E66016">
        <w:rPr>
          <w:rFonts w:ascii="Arial" w:hAnsi="Arial"/>
          <w:b/>
          <w:sz w:val="28"/>
          <w:szCs w:val="48"/>
        </w:rPr>
        <w:t>Recommendations from June Isaacson Kailes, Disability Policy Consultant</w:t>
      </w:r>
      <w:r>
        <w:rPr>
          <w:rFonts w:ascii="Arial" w:hAnsi="Arial"/>
          <w:b/>
          <w:sz w:val="28"/>
          <w:szCs w:val="48"/>
        </w:rPr>
        <w:t>,</w:t>
      </w:r>
      <w:r w:rsidR="00F74C29">
        <w:rPr>
          <w:rFonts w:ascii="Arial" w:hAnsi="Arial"/>
          <w:b/>
          <w:sz w:val="28"/>
          <w:szCs w:val="48"/>
        </w:rPr>
        <w:t xml:space="preserve"> </w:t>
      </w:r>
      <w:r w:rsidR="0041696F">
        <w:rPr>
          <w:rFonts w:ascii="Arial" w:hAnsi="Arial"/>
          <w:b/>
          <w:sz w:val="28"/>
          <w:szCs w:val="48"/>
        </w:rPr>
        <w:t xml:space="preserve">Edition </w:t>
      </w:r>
      <w:proofErr w:type="gramStart"/>
      <w:r w:rsidR="0041696F">
        <w:rPr>
          <w:rFonts w:ascii="Arial" w:hAnsi="Arial"/>
          <w:b/>
          <w:sz w:val="28"/>
          <w:szCs w:val="48"/>
        </w:rPr>
        <w:t>1.1  08.23.26</w:t>
      </w:r>
      <w:proofErr w:type="gramEnd"/>
      <w:r w:rsidR="0041696F">
        <w:rPr>
          <w:rFonts w:ascii="Arial" w:hAnsi="Arial"/>
          <w:b/>
          <w:sz w:val="28"/>
          <w:szCs w:val="48"/>
        </w:rPr>
        <w:t xml:space="preserve">  </w:t>
      </w:r>
    </w:p>
    <w:p w14:paraId="7DAADE17" w14:textId="2A19E33F" w:rsidR="00E66016" w:rsidRPr="00BD3BE0" w:rsidRDefault="00BD3BE0" w:rsidP="00BD3BE0">
      <w:pPr>
        <w:pStyle w:val="Title"/>
        <w:jc w:val="center"/>
        <w:rPr>
          <w:rFonts w:ascii="Arial" w:hAnsi="Arial"/>
          <w:b/>
          <w:sz w:val="24"/>
          <w:szCs w:val="44"/>
        </w:rPr>
      </w:pPr>
      <w:r w:rsidRPr="00BD3BE0">
        <w:rPr>
          <w:rFonts w:ascii="Arial" w:hAnsi="Arial"/>
          <w:b/>
          <w:sz w:val="24"/>
          <w:szCs w:val="44"/>
        </w:rPr>
        <w:t>Available at: https://junekailes.com/favorite-disaster-quotes-and-juneisms/#Words</w:t>
      </w:r>
    </w:p>
    <w:p w14:paraId="685CC468" w14:textId="77777777" w:rsidR="00F56CF5" w:rsidRDefault="00000000">
      <w:pPr>
        <w:pStyle w:val="TableText12pt"/>
      </w:pPr>
      <w:r>
        <w:t>Use this table to replace vague, overbroad, or stigmatizing terms with clearer, more action-oriented language.</w:t>
      </w:r>
    </w:p>
    <w:tbl>
      <w:tblPr>
        <w:tblStyle w:val="TableGrid"/>
        <w:tblW w:w="14472" w:type="dxa"/>
        <w:jc w:val="center"/>
        <w:tblLayout w:type="fixed"/>
        <w:tblLook w:val="04A0" w:firstRow="1" w:lastRow="0" w:firstColumn="1" w:lastColumn="0" w:noHBand="0" w:noVBand="1"/>
      </w:tblPr>
      <w:tblGrid>
        <w:gridCol w:w="2232"/>
        <w:gridCol w:w="4968"/>
        <w:gridCol w:w="7272"/>
      </w:tblGrid>
      <w:tr w:rsidR="00F56CF5" w14:paraId="0AB1745D" w14:textId="77777777" w:rsidTr="00B26131">
        <w:trPr>
          <w:tblHeader/>
          <w:jc w:val="center"/>
        </w:trPr>
        <w:tc>
          <w:tcPr>
            <w:tcW w:w="2232" w:type="dxa"/>
            <w:tcMar>
              <w:top w:w="80" w:type="dxa"/>
              <w:left w:w="80" w:type="dxa"/>
              <w:bottom w:w="80" w:type="dxa"/>
              <w:right w:w="80" w:type="dxa"/>
            </w:tcMar>
          </w:tcPr>
          <w:p w14:paraId="49E7BAC6" w14:textId="77777777" w:rsidR="00F56CF5" w:rsidRDefault="00000000">
            <w:pPr>
              <w:pStyle w:val="TableHeader12pt"/>
              <w:rPr>
                <w:rFonts w:cs="Arial"/>
              </w:rPr>
            </w:pPr>
            <w:r>
              <w:t>Term</w:t>
            </w:r>
          </w:p>
        </w:tc>
        <w:tc>
          <w:tcPr>
            <w:tcW w:w="4968" w:type="dxa"/>
            <w:tcMar>
              <w:top w:w="80" w:type="dxa"/>
              <w:left w:w="80" w:type="dxa"/>
              <w:bottom w:w="80" w:type="dxa"/>
              <w:right w:w="80" w:type="dxa"/>
            </w:tcMar>
          </w:tcPr>
          <w:p w14:paraId="59F51478" w14:textId="77777777" w:rsidR="00F56CF5" w:rsidRDefault="00000000">
            <w:pPr>
              <w:pStyle w:val="TableHeader12pt"/>
              <w:rPr>
                <w:rFonts w:cs="Arial"/>
              </w:rPr>
            </w:pPr>
            <w:r>
              <w:t>Use Instead</w:t>
            </w:r>
          </w:p>
        </w:tc>
        <w:tc>
          <w:tcPr>
            <w:tcW w:w="7272" w:type="dxa"/>
            <w:tcMar>
              <w:top w:w="80" w:type="dxa"/>
              <w:left w:w="80" w:type="dxa"/>
              <w:bottom w:w="80" w:type="dxa"/>
              <w:right w:w="80" w:type="dxa"/>
            </w:tcMar>
          </w:tcPr>
          <w:p w14:paraId="2A1F37EE" w14:textId="77777777" w:rsidR="00F56CF5" w:rsidRDefault="00000000">
            <w:pPr>
              <w:pStyle w:val="TableHeader12pt"/>
              <w:rPr>
                <w:rFonts w:cs="Arial"/>
              </w:rPr>
            </w:pPr>
            <w:r>
              <w:t>Why</w:t>
            </w:r>
          </w:p>
        </w:tc>
      </w:tr>
      <w:tr w:rsidR="00F56CF5" w14:paraId="45DA63B0" w14:textId="77777777" w:rsidTr="00B26131">
        <w:trPr>
          <w:jc w:val="center"/>
        </w:trPr>
        <w:tc>
          <w:tcPr>
            <w:tcW w:w="2232" w:type="dxa"/>
            <w:tcMar>
              <w:top w:w="80" w:type="dxa"/>
              <w:left w:w="80" w:type="dxa"/>
              <w:bottom w:w="80" w:type="dxa"/>
              <w:right w:w="80" w:type="dxa"/>
            </w:tcMar>
          </w:tcPr>
          <w:p w14:paraId="54C9D186" w14:textId="66F34E61" w:rsidR="00F56CF5" w:rsidRDefault="00000000">
            <w:pPr>
              <w:pStyle w:val="TableText12pt"/>
              <w:rPr>
                <w:rFonts w:cs="Arial"/>
              </w:rPr>
            </w:pPr>
            <w:proofErr w:type="gramStart"/>
            <w:r>
              <w:t>best</w:t>
            </w:r>
            <w:proofErr w:type="gramEnd"/>
            <w:r>
              <w:t xml:space="preserve"> practice</w:t>
            </w:r>
            <w:r>
              <w:br/>
            </w:r>
          </w:p>
        </w:tc>
        <w:tc>
          <w:tcPr>
            <w:tcW w:w="4968" w:type="dxa"/>
            <w:tcMar>
              <w:top w:w="80" w:type="dxa"/>
              <w:left w:w="80" w:type="dxa"/>
              <w:bottom w:w="80" w:type="dxa"/>
              <w:right w:w="80" w:type="dxa"/>
            </w:tcMar>
          </w:tcPr>
          <w:p w14:paraId="5D77F54B" w14:textId="6F273C03" w:rsidR="00F56CF5" w:rsidRDefault="00F74C29">
            <w:pPr>
              <w:pStyle w:val="TableText12pt"/>
              <w:rPr>
                <w:rFonts w:cs="Arial"/>
              </w:rPr>
            </w:pPr>
            <w:r>
              <w:t>Good or promising practice</w:t>
            </w:r>
          </w:p>
        </w:tc>
        <w:tc>
          <w:tcPr>
            <w:tcW w:w="7272" w:type="dxa"/>
            <w:tcMar>
              <w:top w:w="80" w:type="dxa"/>
              <w:left w:w="80" w:type="dxa"/>
              <w:bottom w:w="80" w:type="dxa"/>
              <w:right w:w="80" w:type="dxa"/>
            </w:tcMar>
          </w:tcPr>
          <w:p w14:paraId="5E0A2280" w14:textId="77777777" w:rsidR="00F56CF5" w:rsidRDefault="00000000">
            <w:pPr>
              <w:pStyle w:val="TableText12pt"/>
              <w:rPr>
                <w:rFonts w:cs="Arial"/>
              </w:rPr>
            </w:pPr>
            <w:r>
              <w:t>“Best practice” can sound final, like dogma or overclaiming. “Good practice” leaves room for improvement, customization, context, accountability, and evolution.</w:t>
            </w:r>
          </w:p>
        </w:tc>
      </w:tr>
      <w:tr w:rsidR="00F56CF5" w14:paraId="1ADEBD5F" w14:textId="77777777" w:rsidTr="00B26131">
        <w:trPr>
          <w:jc w:val="center"/>
        </w:trPr>
        <w:tc>
          <w:tcPr>
            <w:tcW w:w="2232" w:type="dxa"/>
            <w:tcMar>
              <w:top w:w="80" w:type="dxa"/>
              <w:left w:w="80" w:type="dxa"/>
              <w:bottom w:w="80" w:type="dxa"/>
              <w:right w:w="80" w:type="dxa"/>
            </w:tcMar>
          </w:tcPr>
          <w:p w14:paraId="662F32F3" w14:textId="77777777" w:rsidR="00F56CF5" w:rsidRDefault="00000000">
            <w:pPr>
              <w:pStyle w:val="TableText12pt"/>
              <w:rPr>
                <w:rFonts w:cs="Arial"/>
              </w:rPr>
            </w:pPr>
            <w:r>
              <w:t>disability community</w:t>
            </w:r>
          </w:p>
        </w:tc>
        <w:tc>
          <w:tcPr>
            <w:tcW w:w="4968" w:type="dxa"/>
            <w:tcMar>
              <w:top w:w="80" w:type="dxa"/>
              <w:left w:w="80" w:type="dxa"/>
              <w:bottom w:w="80" w:type="dxa"/>
              <w:right w:w="80" w:type="dxa"/>
            </w:tcMar>
          </w:tcPr>
          <w:p w14:paraId="3BC27037" w14:textId="77777777" w:rsidR="00F56CF5" w:rsidRDefault="00000000">
            <w:pPr>
              <w:pStyle w:val="TableText12pt"/>
              <w:rPr>
                <w:rFonts w:cs="Arial"/>
              </w:rPr>
            </w:pPr>
            <w:r>
              <w:t>people with disabilities</w:t>
            </w:r>
            <w:r>
              <w:br/>
            </w:r>
            <w:r>
              <w:br/>
              <w:t>When referring to organized advocacy voices, use: disability-led organizations, advocates, and people with disabilities.</w:t>
            </w:r>
          </w:p>
        </w:tc>
        <w:tc>
          <w:tcPr>
            <w:tcW w:w="7272" w:type="dxa"/>
            <w:tcMar>
              <w:top w:w="80" w:type="dxa"/>
              <w:left w:w="80" w:type="dxa"/>
              <w:bottom w:w="80" w:type="dxa"/>
              <w:right w:w="80" w:type="dxa"/>
            </w:tcMar>
          </w:tcPr>
          <w:p w14:paraId="2D57C2F3" w14:textId="77777777" w:rsidR="00F56CF5" w:rsidRDefault="00000000">
            <w:pPr>
              <w:pStyle w:val="TableText12pt"/>
              <w:rPr>
                <w:rFonts w:cs="Arial"/>
              </w:rPr>
            </w:pPr>
            <w:r>
              <w:t>“The disability community” can be useful sometimes, but it can also falsely imply that people with disabilities are one unified, homogeneous group with shared views, needs, politics, priorities, and experiences. That is not accurate.</w:t>
            </w:r>
          </w:p>
        </w:tc>
      </w:tr>
      <w:tr w:rsidR="005E1FCE" w14:paraId="734CEB36" w14:textId="77777777" w:rsidTr="00B26131">
        <w:trPr>
          <w:jc w:val="center"/>
        </w:trPr>
        <w:tc>
          <w:tcPr>
            <w:tcW w:w="2232" w:type="dxa"/>
            <w:tcMar>
              <w:top w:w="80" w:type="dxa"/>
              <w:left w:w="80" w:type="dxa"/>
              <w:bottom w:w="80" w:type="dxa"/>
              <w:right w:w="80" w:type="dxa"/>
            </w:tcMar>
          </w:tcPr>
          <w:p w14:paraId="33AEECD6" w14:textId="474DC47F" w:rsidR="005E1FCE" w:rsidRDefault="005E1FCE">
            <w:pPr>
              <w:pStyle w:val="TableText12pt"/>
            </w:pPr>
            <w:r w:rsidRPr="005E1FCE">
              <w:t>health needs; medical needs when used as catch-all terms</w:t>
            </w:r>
          </w:p>
        </w:tc>
        <w:tc>
          <w:tcPr>
            <w:tcW w:w="4968" w:type="dxa"/>
            <w:tcMar>
              <w:top w:w="80" w:type="dxa"/>
              <w:left w:w="80" w:type="dxa"/>
              <w:bottom w:w="80" w:type="dxa"/>
              <w:right w:w="80" w:type="dxa"/>
            </w:tcMar>
          </w:tcPr>
          <w:p w14:paraId="57D2DF95" w14:textId="77777777" w:rsidR="005E1FCE" w:rsidRDefault="005E1FCE" w:rsidP="005E1FCE">
            <w:pPr>
              <w:pStyle w:val="TableText12pt"/>
            </w:pPr>
            <w:r w:rsidRPr="005E1FCE">
              <w:rPr>
                <w:b/>
                <w:bCs/>
              </w:rPr>
              <w:t xml:space="preserve">Name the actual need, service, or support. </w:t>
            </w:r>
            <w:r w:rsidRPr="005E1FCE">
              <w:t>Use</w:t>
            </w:r>
            <w:r w:rsidRPr="005E1FCE">
              <w:rPr>
                <w:b/>
                <w:bCs/>
              </w:rPr>
              <w:t xml:space="preserve"> maintaining health </w:t>
            </w:r>
            <w:r w:rsidRPr="005E1FCE">
              <w:t>as a broad</w:t>
            </w:r>
            <w:r w:rsidRPr="005E1FCE">
              <w:rPr>
                <w:b/>
                <w:bCs/>
              </w:rPr>
              <w:t xml:space="preserve"> functional category</w:t>
            </w:r>
            <w:r>
              <w:t>, followed by specifics such as medication access or replacement; dialysis, infusion, or other continuing treatment; replacement equipment or supplies; refrigeration; electricity for essential equipment; nutrition; transportation to health services; or personal assistance. Use</w:t>
            </w:r>
            <w:r w:rsidRPr="005E1FCE">
              <w:rPr>
                <w:b/>
                <w:bCs/>
              </w:rPr>
              <w:t xml:space="preserve"> medical care or medical services </w:t>
            </w:r>
            <w:r>
              <w:t xml:space="preserve">when clinical assessment, treatment, ongoing monitoring, or </w:t>
            </w:r>
          </w:p>
          <w:p w14:paraId="58C09A51" w14:textId="3650EF72" w:rsidR="005E1FCE" w:rsidRDefault="005E1FCE" w:rsidP="005E1FCE">
            <w:pPr>
              <w:pStyle w:val="TableText12pt"/>
            </w:pPr>
            <w:r>
              <w:t>qualified medical personnel are required. Retain established terms such as emergency medical services, medical shelter, medical records, durable medical equipment, and ESF #8 Public Health and Medical Services.</w:t>
            </w:r>
          </w:p>
        </w:tc>
        <w:tc>
          <w:tcPr>
            <w:tcW w:w="7272" w:type="dxa"/>
            <w:tcMar>
              <w:top w:w="80" w:type="dxa"/>
              <w:left w:w="80" w:type="dxa"/>
              <w:bottom w:w="80" w:type="dxa"/>
              <w:right w:w="80" w:type="dxa"/>
            </w:tcMar>
          </w:tcPr>
          <w:p w14:paraId="6FED07B0" w14:textId="487A8774" w:rsidR="005E1FCE" w:rsidRDefault="005E1FCE">
            <w:pPr>
              <w:pStyle w:val="TableText12pt"/>
            </w:pPr>
            <w:r w:rsidRPr="005E1FCE">
              <w:t xml:space="preserve">Health is broader than medical care, and disability does not by itself establish a need for medical care. Using “medical needs” as shorthand for disability-related supports can lead to inappropriate referrals to </w:t>
            </w:r>
            <w:r w:rsidR="00242F96">
              <w:t>e</w:t>
            </w:r>
            <w:r>
              <w:t xml:space="preserve">mergency medical services, </w:t>
            </w:r>
            <w:r w:rsidRPr="005E1FCE">
              <w:t>hospitals,</w:t>
            </w:r>
            <w:r w:rsidR="00242F96">
              <w:t xml:space="preserve"> nursing homes, </w:t>
            </w:r>
            <w:r w:rsidRPr="005E1FCE">
              <w:t>or medical shelters; unnecessary separation from families and supports; and misuse of limited clinical resources. “Health needs” can also be too vague, so specify what is needed, who will provide it,</w:t>
            </w:r>
            <w:r w:rsidR="00242F96">
              <w:t xml:space="preserve"> and </w:t>
            </w:r>
            <w:r w:rsidRPr="005E1FCE">
              <w:t>where, when, and under what conditions.</w:t>
            </w:r>
          </w:p>
        </w:tc>
      </w:tr>
      <w:tr w:rsidR="00F56CF5" w14:paraId="0F260D60" w14:textId="77777777" w:rsidTr="00B26131">
        <w:trPr>
          <w:jc w:val="center"/>
        </w:trPr>
        <w:tc>
          <w:tcPr>
            <w:tcW w:w="2232" w:type="dxa"/>
            <w:tcMar>
              <w:top w:w="80" w:type="dxa"/>
              <w:left w:w="80" w:type="dxa"/>
              <w:bottom w:w="80" w:type="dxa"/>
              <w:right w:w="80" w:type="dxa"/>
            </w:tcMar>
          </w:tcPr>
          <w:p w14:paraId="6E1397DC" w14:textId="2FBCDEA0" w:rsidR="00F56CF5" w:rsidRDefault="00000000">
            <w:pPr>
              <w:pStyle w:val="TableText12pt"/>
              <w:rPr>
                <w:rFonts w:cs="Arial"/>
              </w:rPr>
            </w:pPr>
            <w:r>
              <w:lastRenderedPageBreak/>
              <w:t>lessons learned</w:t>
            </w:r>
            <w:r>
              <w:br/>
            </w:r>
          </w:p>
        </w:tc>
        <w:tc>
          <w:tcPr>
            <w:tcW w:w="4968" w:type="dxa"/>
            <w:tcMar>
              <w:top w:w="80" w:type="dxa"/>
              <w:left w:w="80" w:type="dxa"/>
              <w:bottom w:w="80" w:type="dxa"/>
              <w:right w:w="80" w:type="dxa"/>
            </w:tcMar>
          </w:tcPr>
          <w:p w14:paraId="00B5D587" w14:textId="77777777" w:rsidR="00F56CF5" w:rsidRDefault="00000000">
            <w:pPr>
              <w:pStyle w:val="TableText12pt"/>
              <w:rPr>
                <w:rFonts w:cs="Arial"/>
              </w:rPr>
            </w:pPr>
            <w:r>
              <w:t>lessons to apply</w:t>
            </w:r>
          </w:p>
        </w:tc>
        <w:tc>
          <w:tcPr>
            <w:tcW w:w="7272" w:type="dxa"/>
            <w:tcMar>
              <w:top w:w="80" w:type="dxa"/>
              <w:left w:w="80" w:type="dxa"/>
              <w:bottom w:w="80" w:type="dxa"/>
              <w:right w:w="80" w:type="dxa"/>
            </w:tcMar>
          </w:tcPr>
          <w:p w14:paraId="5ACD403B" w14:textId="68D1A6A2" w:rsidR="00F56CF5" w:rsidRDefault="00000000">
            <w:pPr>
              <w:pStyle w:val="TableText12pt"/>
              <w:rPr>
                <w:rFonts w:cs="Arial"/>
              </w:rPr>
            </w:pPr>
            <w:r>
              <w:t>Applied lessons become lessons learned only when they are integrated into plans, policies, processes, agreements, contracts, training, testing, analysis, revisions, and updates. A lesson is not learned because it was written in an after-action report. It is learned when it changes what people do</w:t>
            </w:r>
            <w:r w:rsidR="00E66016">
              <w:t>.</w:t>
            </w:r>
          </w:p>
        </w:tc>
      </w:tr>
      <w:tr w:rsidR="00F56CF5" w14:paraId="4C58DD3E" w14:textId="77777777" w:rsidTr="00B26131">
        <w:trPr>
          <w:jc w:val="center"/>
        </w:trPr>
        <w:tc>
          <w:tcPr>
            <w:tcW w:w="2232" w:type="dxa"/>
            <w:tcMar>
              <w:top w:w="80" w:type="dxa"/>
              <w:left w:w="80" w:type="dxa"/>
              <w:bottom w:w="80" w:type="dxa"/>
              <w:right w:w="80" w:type="dxa"/>
            </w:tcMar>
          </w:tcPr>
          <w:p w14:paraId="41DBD712" w14:textId="4DF28B9D" w:rsidR="00F56CF5" w:rsidRDefault="00000000">
            <w:pPr>
              <w:pStyle w:val="TableText12pt"/>
              <w:rPr>
                <w:rFonts w:cs="Arial"/>
              </w:rPr>
            </w:pPr>
            <w:r>
              <w:t>posture</w:t>
            </w:r>
            <w:r>
              <w:br/>
            </w:r>
          </w:p>
        </w:tc>
        <w:tc>
          <w:tcPr>
            <w:tcW w:w="4968" w:type="dxa"/>
            <w:tcMar>
              <w:top w:w="80" w:type="dxa"/>
              <w:left w:w="80" w:type="dxa"/>
              <w:bottom w:w="80" w:type="dxa"/>
              <w:right w:w="80" w:type="dxa"/>
            </w:tcMar>
          </w:tcPr>
          <w:p w14:paraId="29D6940C" w14:textId="5094CA8D" w:rsidR="00F56CF5" w:rsidRDefault="00000000">
            <w:pPr>
              <w:pStyle w:val="TableText12pt"/>
              <w:rPr>
                <w:rFonts w:cs="Arial"/>
              </w:rPr>
            </w:pPr>
            <w:r>
              <w:t>Name the actual work, level, or responsibility. Examples:</w:t>
            </w:r>
            <w:r>
              <w:br/>
              <w:t>• level of readiness</w:t>
            </w:r>
            <w:r>
              <w:br/>
              <w:t>• response approach or operating mode</w:t>
            </w:r>
            <w:r>
              <w:br/>
              <w:t>• sustained response or ongoing coordination</w:t>
            </w:r>
            <w:r>
              <w:br/>
              <w:t>• public health role or public health response</w:t>
            </w:r>
            <w:r>
              <w:br/>
              <w:t>• disability and access support role</w:t>
            </w:r>
            <w:r>
              <w:br/>
              <w:t>• recovery operations or recovery support</w:t>
            </w:r>
            <w:r>
              <w:br/>
              <w:t>• increased staffing, enhanced monitoring, or expanded operations</w:t>
            </w:r>
          </w:p>
        </w:tc>
        <w:tc>
          <w:tcPr>
            <w:tcW w:w="7272" w:type="dxa"/>
            <w:tcMar>
              <w:top w:w="80" w:type="dxa"/>
              <w:left w:w="80" w:type="dxa"/>
              <w:bottom w:w="80" w:type="dxa"/>
              <w:right w:w="80" w:type="dxa"/>
            </w:tcMar>
          </w:tcPr>
          <w:p w14:paraId="27FA6747" w14:textId="66F26716" w:rsidR="00F56CF5" w:rsidRDefault="00000000">
            <w:pPr>
              <w:pStyle w:val="TableText12pt"/>
              <w:rPr>
                <w:rFonts w:cs="Arial"/>
              </w:rPr>
            </w:pPr>
            <w:r>
              <w:t xml:space="preserve">“Posture” may be emergency management shorthand, but it can be vague </w:t>
            </w:r>
            <w:r w:rsidR="00B26131">
              <w:t>unless</w:t>
            </w:r>
            <w:r>
              <w:t xml:space="preserve"> tied to specific actions, staffing, authority, resources, or responsibilities. Use “posture” only when you clearly mean readiness level or operating mode. Otherwise, name the actual work: coordination, staffing, response, support, monitoring, outreach, sheltering, recovery, or problem-solving.</w:t>
            </w:r>
          </w:p>
        </w:tc>
      </w:tr>
      <w:tr w:rsidR="00F56CF5" w14:paraId="604388DE" w14:textId="77777777" w:rsidTr="00B26131">
        <w:trPr>
          <w:jc w:val="center"/>
        </w:trPr>
        <w:tc>
          <w:tcPr>
            <w:tcW w:w="2232" w:type="dxa"/>
            <w:tcMar>
              <w:top w:w="80" w:type="dxa"/>
              <w:left w:w="80" w:type="dxa"/>
              <w:bottom w:w="80" w:type="dxa"/>
              <w:right w:w="80" w:type="dxa"/>
            </w:tcMar>
          </w:tcPr>
          <w:p w14:paraId="7C6E7E1F" w14:textId="465C9FCE" w:rsidR="00F56CF5" w:rsidRDefault="00D41DA8">
            <w:pPr>
              <w:pStyle w:val="TableText12pt"/>
              <w:rPr>
                <w:rFonts w:cs="Arial"/>
              </w:rPr>
            </w:pPr>
            <w:r>
              <w:rPr>
                <w:rFonts w:cs="Arial"/>
              </w:rPr>
              <w:t>s</w:t>
            </w:r>
            <w:r w:rsidR="00E66016">
              <w:rPr>
                <w:rFonts w:cs="Arial"/>
              </w:rPr>
              <w:t xml:space="preserve">pecial needs </w:t>
            </w:r>
          </w:p>
          <w:p w14:paraId="082C742F" w14:textId="36E1FFA0" w:rsidR="00E66016" w:rsidRDefault="00D41DA8">
            <w:pPr>
              <w:pStyle w:val="TableText12pt"/>
              <w:rPr>
                <w:rFonts w:cs="Arial"/>
              </w:rPr>
            </w:pPr>
            <w:r>
              <w:rPr>
                <w:rFonts w:cs="Arial"/>
              </w:rPr>
              <w:t>s</w:t>
            </w:r>
            <w:r w:rsidR="00E66016">
              <w:rPr>
                <w:rFonts w:cs="Arial"/>
              </w:rPr>
              <w:t xml:space="preserve">pecial populations </w:t>
            </w:r>
          </w:p>
        </w:tc>
        <w:tc>
          <w:tcPr>
            <w:tcW w:w="4968" w:type="dxa"/>
            <w:tcMar>
              <w:top w:w="80" w:type="dxa"/>
              <w:left w:w="80" w:type="dxa"/>
              <w:bottom w:w="80" w:type="dxa"/>
              <w:right w:w="80" w:type="dxa"/>
            </w:tcMar>
          </w:tcPr>
          <w:p w14:paraId="2C71EEB1" w14:textId="77777777" w:rsidR="00F56CF5" w:rsidRDefault="00000000">
            <w:pPr>
              <w:pStyle w:val="TableText12pt"/>
              <w:rPr>
                <w:rFonts w:cs="Arial"/>
              </w:rPr>
            </w:pPr>
            <w:r>
              <w:t>support needs</w:t>
            </w:r>
            <w:r>
              <w:br/>
            </w:r>
            <w:r>
              <w:br/>
              <w:t>specific populations, with the groups defined. Examples: people in long-term care facilities; people who rely on life-support or life-sustaining equipment; people in custody; people in nursing homes, group homes, and senior living; justice-involved individuals; youth in custody; people in supportive or transitional housing; and people experiencing homelessness.</w:t>
            </w:r>
          </w:p>
        </w:tc>
        <w:tc>
          <w:tcPr>
            <w:tcW w:w="7272" w:type="dxa"/>
            <w:tcMar>
              <w:top w:w="80" w:type="dxa"/>
              <w:left w:w="80" w:type="dxa"/>
              <w:bottom w:w="80" w:type="dxa"/>
              <w:right w:w="80" w:type="dxa"/>
            </w:tcMar>
          </w:tcPr>
          <w:p w14:paraId="29DEB7F2" w14:textId="59DE13AD" w:rsidR="00F56CF5" w:rsidRDefault="00000000">
            <w:pPr>
              <w:pStyle w:val="TableText12pt"/>
              <w:rPr>
                <w:rFonts w:cs="Arial"/>
              </w:rPr>
            </w:pPr>
            <w:r>
              <w:t xml:space="preserve">This removes bias and vagueness. Variation in human ability is ordinary, not special, and affects most of us for some part of our lives. People with disabilities should not be labeled as being </w:t>
            </w:r>
            <w:proofErr w:type="spellStart"/>
            <w:r>
              <w:t>cial</w:t>
            </w:r>
            <w:proofErr w:type="spellEnd"/>
            <w:r>
              <w:t xml:space="preserve">.” Using “special” to describe this large population of people with disabilities is equivalent to describing all Hispanics or all women as “special.” Although the term is often used in descriptions such as “special education,” it is vague, patronizing, inappropriate, and distancing. “Special” is often viewed by disability advocates as an offensive euphemism for segregated and isolated, as it implies differentness and apartness. See: </w:t>
            </w:r>
            <w:hyperlink r:id="rId8" w:history="1">
              <w:r w:rsidR="00F56CF5" w:rsidRPr="00A81B3F">
                <w:rPr>
                  <w:rStyle w:val="Hyperlink"/>
                </w:rPr>
                <w:t xml:space="preserve">Time to Get Rid of “Special”? </w:t>
              </w:r>
            </w:hyperlink>
            <w:r>
              <w:t>(1991).</w:t>
            </w:r>
          </w:p>
        </w:tc>
      </w:tr>
      <w:tr w:rsidR="00B26131" w14:paraId="51CD08C6" w14:textId="77777777" w:rsidTr="00B26131">
        <w:trPr>
          <w:jc w:val="center"/>
        </w:trPr>
        <w:tc>
          <w:tcPr>
            <w:tcW w:w="2232" w:type="dxa"/>
            <w:tcMar>
              <w:top w:w="80" w:type="dxa"/>
              <w:left w:w="80" w:type="dxa"/>
              <w:bottom w:w="80" w:type="dxa"/>
              <w:right w:w="80" w:type="dxa"/>
            </w:tcMar>
          </w:tcPr>
          <w:p w14:paraId="6FAA9D8B" w14:textId="3659E944" w:rsidR="00B26131" w:rsidRDefault="00D41DA8">
            <w:pPr>
              <w:pStyle w:val="TableText12pt"/>
            </w:pPr>
            <w:r>
              <w:t>s</w:t>
            </w:r>
            <w:r w:rsidR="00B26131">
              <w:t xml:space="preserve">takeholders, </w:t>
            </w:r>
            <w:r>
              <w:t>w</w:t>
            </w:r>
            <w:r w:rsidR="00B26131">
              <w:t>hole community</w:t>
            </w:r>
          </w:p>
        </w:tc>
        <w:tc>
          <w:tcPr>
            <w:tcW w:w="4968" w:type="dxa"/>
            <w:tcMar>
              <w:top w:w="80" w:type="dxa"/>
              <w:left w:w="80" w:type="dxa"/>
              <w:bottom w:w="80" w:type="dxa"/>
              <w:right w:w="80" w:type="dxa"/>
            </w:tcMar>
          </w:tcPr>
          <w:p w14:paraId="77694391" w14:textId="55C2F132" w:rsidR="00E854B1" w:rsidRPr="00A64AF5" w:rsidRDefault="00E854B1" w:rsidP="00E854B1">
            <w:pPr>
              <w:rPr>
                <w:rFonts w:cs="Arial"/>
              </w:rPr>
            </w:pPr>
            <w:r w:rsidRPr="00A64AF5">
              <w:rPr>
                <w:rFonts w:cs="Arial"/>
              </w:rPr>
              <w:t>Use only when specifically defining who is included and who is not</w:t>
            </w:r>
            <w:r>
              <w:rPr>
                <w:rFonts w:cs="Arial"/>
              </w:rPr>
              <w:t>.</w:t>
            </w:r>
            <w:r w:rsidRPr="00A64AF5">
              <w:rPr>
                <w:rFonts w:cs="Arial"/>
              </w:rPr>
              <w:t xml:space="preserve"> </w:t>
            </w:r>
          </w:p>
          <w:p w14:paraId="7F6ACEEF" w14:textId="77777777" w:rsidR="00B26131" w:rsidRDefault="00B26131">
            <w:pPr>
              <w:pStyle w:val="TableText12pt"/>
            </w:pPr>
          </w:p>
        </w:tc>
        <w:tc>
          <w:tcPr>
            <w:tcW w:w="7272" w:type="dxa"/>
            <w:tcMar>
              <w:top w:w="80" w:type="dxa"/>
              <w:left w:w="80" w:type="dxa"/>
              <w:bottom w:w="80" w:type="dxa"/>
              <w:right w:w="80" w:type="dxa"/>
            </w:tcMar>
          </w:tcPr>
          <w:p w14:paraId="1482D499" w14:textId="77777777" w:rsidR="00E854B1" w:rsidRPr="00A64AF5" w:rsidRDefault="00E854B1" w:rsidP="00E854B1">
            <w:pPr>
              <w:rPr>
                <w:rFonts w:cs="Arial"/>
              </w:rPr>
            </w:pPr>
            <w:r w:rsidRPr="00A64AF5">
              <w:rPr>
                <w:rFonts w:cs="Arial"/>
              </w:rPr>
              <w:t xml:space="preserve"> Both terms are vague, rhetorical, and jargon descriptions. The whole community suggests everyone is included</w:t>
            </w:r>
            <w:r>
              <w:rPr>
                <w:rFonts w:cs="Arial"/>
              </w:rPr>
              <w:t xml:space="preserve">. </w:t>
            </w:r>
            <w:r w:rsidRPr="00A64AF5">
              <w:rPr>
                <w:rFonts w:cs="Arial"/>
              </w:rPr>
              <w:t>It is important to define who, for example:</w:t>
            </w:r>
          </w:p>
          <w:p w14:paraId="7A22BA69" w14:textId="77777777" w:rsidR="00E854B1" w:rsidRDefault="00E854B1" w:rsidP="00E854B1">
            <w:pPr>
              <w:ind w:left="360"/>
              <w:rPr>
                <w:rFonts w:cs="Arial"/>
              </w:rPr>
            </w:pPr>
            <w:r>
              <w:rPr>
                <w:rFonts w:cs="Arial"/>
              </w:rPr>
              <w:t>• Government - agencies, emergency personnel, and elected officials</w:t>
            </w:r>
          </w:p>
          <w:p w14:paraId="21563D44" w14:textId="77777777" w:rsidR="00E854B1" w:rsidRDefault="00E854B1" w:rsidP="00E854B1">
            <w:pPr>
              <w:ind w:left="360"/>
              <w:rPr>
                <w:rFonts w:cs="Arial"/>
              </w:rPr>
            </w:pPr>
            <w:r>
              <w:rPr>
                <w:rFonts w:cs="Arial"/>
              </w:rPr>
              <w:lastRenderedPageBreak/>
              <w:t>• Community members affected by the decisions, people with lived experience of disasters, and service barriers</w:t>
            </w:r>
          </w:p>
          <w:p w14:paraId="04791B92" w14:textId="77777777" w:rsidR="00E854B1" w:rsidRDefault="00E854B1" w:rsidP="00E854B1">
            <w:pPr>
              <w:ind w:left="360"/>
              <w:rPr>
                <w:rFonts w:cs="Arial"/>
              </w:rPr>
            </w:pPr>
            <w:r>
              <w:rPr>
                <w:rFonts w:cs="Arial"/>
              </w:rPr>
              <w:t>• Community-based and disability-led organizations</w:t>
            </w:r>
          </w:p>
          <w:p w14:paraId="3523568E" w14:textId="77777777" w:rsidR="00E854B1" w:rsidRDefault="00E854B1" w:rsidP="00E854B1">
            <w:pPr>
              <w:ind w:left="360"/>
              <w:rPr>
                <w:rFonts w:cs="Arial"/>
              </w:rPr>
            </w:pPr>
            <w:r>
              <w:rPr>
                <w:rFonts w:cs="Arial"/>
              </w:rPr>
              <w:t>• Emergency service organizations whose primary mission includes emergency preparedness, response, recovery, or mitigation</w:t>
            </w:r>
          </w:p>
          <w:p w14:paraId="27BC4700" w14:textId="77777777" w:rsidR="00E854B1" w:rsidRDefault="00E854B1" w:rsidP="00E854B1">
            <w:pPr>
              <w:ind w:left="360"/>
              <w:rPr>
                <w:rFonts w:cs="Arial"/>
              </w:rPr>
            </w:pPr>
            <w:r>
              <w:rPr>
                <w:rFonts w:cs="Arial"/>
              </w:rPr>
              <w:t>• Health, transportation, housing, and utility providers</w:t>
            </w:r>
          </w:p>
          <w:p w14:paraId="3F91A754" w14:textId="0EE98CF7" w:rsidR="00B26131" w:rsidRDefault="00E854B1" w:rsidP="00E854B1">
            <w:pPr>
              <w:ind w:left="360"/>
            </w:pPr>
            <w:r>
              <w:rPr>
                <w:rFonts w:cs="Arial"/>
              </w:rPr>
              <w:t xml:space="preserve">• Businesses, contractors, and vendors </w:t>
            </w:r>
          </w:p>
        </w:tc>
      </w:tr>
      <w:tr w:rsidR="00F56CF5" w14:paraId="7D675109" w14:textId="77777777" w:rsidTr="00B26131">
        <w:trPr>
          <w:jc w:val="center"/>
        </w:trPr>
        <w:tc>
          <w:tcPr>
            <w:tcW w:w="2232" w:type="dxa"/>
            <w:tcMar>
              <w:top w:w="80" w:type="dxa"/>
              <w:left w:w="80" w:type="dxa"/>
              <w:bottom w:w="80" w:type="dxa"/>
              <w:right w:w="80" w:type="dxa"/>
            </w:tcMar>
          </w:tcPr>
          <w:p w14:paraId="19E69134" w14:textId="3ED9245D" w:rsidR="00F56CF5" w:rsidRDefault="00D41DA8">
            <w:pPr>
              <w:pStyle w:val="TableText12pt"/>
              <w:rPr>
                <w:rFonts w:cs="Arial"/>
              </w:rPr>
            </w:pPr>
            <w:r>
              <w:lastRenderedPageBreak/>
              <w:t>vulnerable</w:t>
            </w:r>
          </w:p>
        </w:tc>
        <w:tc>
          <w:tcPr>
            <w:tcW w:w="4968" w:type="dxa"/>
            <w:tcMar>
              <w:top w:w="80" w:type="dxa"/>
              <w:left w:w="80" w:type="dxa"/>
              <w:bottom w:w="80" w:type="dxa"/>
              <w:right w:w="80" w:type="dxa"/>
            </w:tcMar>
          </w:tcPr>
          <w:p w14:paraId="3D5D4897" w14:textId="53C3D811" w:rsidR="00F56CF5" w:rsidRDefault="00000000">
            <w:pPr>
              <w:pStyle w:val="TableText12pt"/>
              <w:rPr>
                <w:rFonts w:cs="Arial"/>
              </w:rPr>
            </w:pPr>
            <w:r>
              <w:t>people at higher risk</w:t>
            </w:r>
            <w:r>
              <w:br/>
              <w:t>• people disproportionately impacted</w:t>
            </w:r>
            <w:r>
              <w:br/>
              <w:t xml:space="preserve">• </w:t>
            </w:r>
            <w:r w:rsidR="00E66016">
              <w:t>people</w:t>
            </w:r>
            <w:r>
              <w:t xml:space="preserve"> with health-related needs</w:t>
            </w:r>
            <w:r>
              <w:br/>
              <w:t>• people who may need additional support during evacuation, sheltering, or recovery</w:t>
            </w:r>
            <w:r>
              <w:br/>
              <w:t>• people who rely on power, medical equipment, medications, transportation, communication access, or personal assistance services</w:t>
            </w:r>
            <w:r>
              <w:br/>
              <w:t>• people affected by gaps in transportation, communication, health support, housing, or recovery services</w:t>
            </w:r>
          </w:p>
        </w:tc>
        <w:tc>
          <w:tcPr>
            <w:tcW w:w="7272" w:type="dxa"/>
            <w:tcMar>
              <w:top w:w="80" w:type="dxa"/>
              <w:left w:w="80" w:type="dxa"/>
              <w:bottom w:w="80" w:type="dxa"/>
              <w:right w:w="80" w:type="dxa"/>
            </w:tcMar>
          </w:tcPr>
          <w:p w14:paraId="3EB69462" w14:textId="77777777" w:rsidR="00F56CF5" w:rsidRDefault="00000000">
            <w:pPr>
              <w:pStyle w:val="TableText12pt"/>
              <w:rPr>
                <w:rFonts w:cs="Arial"/>
              </w:rPr>
            </w:pPr>
            <w:r>
              <w:t xml:space="preserve">“Vulnerable” labels people rather than identifying the conditions, barriers, and system gaps that increase risk. “Vulnerable” is too broad and can be stigmatizing. We are all vulnerable </w:t>
            </w:r>
            <w:proofErr w:type="gramStart"/>
            <w:r>
              <w:t>in</w:t>
            </w:r>
            <w:proofErr w:type="gramEnd"/>
            <w:r>
              <w:t xml:space="preserve"> emergencies. Name the risk, the barrier, and the support needed.</w:t>
            </w:r>
          </w:p>
        </w:tc>
      </w:tr>
      <w:tr w:rsidR="00F56CF5" w14:paraId="2B2B1451" w14:textId="77777777" w:rsidTr="00B26131">
        <w:trPr>
          <w:jc w:val="center"/>
        </w:trPr>
        <w:tc>
          <w:tcPr>
            <w:tcW w:w="2232" w:type="dxa"/>
            <w:tcMar>
              <w:top w:w="80" w:type="dxa"/>
              <w:left w:w="80" w:type="dxa"/>
              <w:bottom w:w="80" w:type="dxa"/>
              <w:right w:w="80" w:type="dxa"/>
            </w:tcMar>
          </w:tcPr>
          <w:p w14:paraId="7F9CB383" w14:textId="77777777" w:rsidR="00F56CF5" w:rsidRDefault="00000000">
            <w:pPr>
              <w:pStyle w:val="TableText12pt"/>
              <w:rPr>
                <w:rFonts w:cs="Arial"/>
              </w:rPr>
            </w:pPr>
            <w:r>
              <w:t xml:space="preserve"> </w:t>
            </w:r>
          </w:p>
        </w:tc>
        <w:tc>
          <w:tcPr>
            <w:tcW w:w="4968" w:type="dxa"/>
            <w:tcMar>
              <w:top w:w="80" w:type="dxa"/>
              <w:left w:w="80" w:type="dxa"/>
              <w:bottom w:w="80" w:type="dxa"/>
              <w:right w:w="80" w:type="dxa"/>
            </w:tcMar>
          </w:tcPr>
          <w:p w14:paraId="399FA280" w14:textId="77777777" w:rsidR="00F56CF5" w:rsidRDefault="00000000">
            <w:pPr>
              <w:pStyle w:val="TableText12pt"/>
              <w:rPr>
                <w:rFonts w:cs="Arial"/>
              </w:rPr>
            </w:pPr>
            <w:r>
              <w:t xml:space="preserve"> </w:t>
            </w:r>
          </w:p>
        </w:tc>
        <w:tc>
          <w:tcPr>
            <w:tcW w:w="7272" w:type="dxa"/>
            <w:tcMar>
              <w:top w:w="80" w:type="dxa"/>
              <w:left w:w="80" w:type="dxa"/>
              <w:bottom w:w="80" w:type="dxa"/>
              <w:right w:w="80" w:type="dxa"/>
            </w:tcMar>
          </w:tcPr>
          <w:p w14:paraId="3C29D05B" w14:textId="77777777" w:rsidR="00F56CF5" w:rsidRDefault="00000000">
            <w:pPr>
              <w:pStyle w:val="TableText12pt"/>
              <w:rPr>
                <w:rFonts w:cs="Arial"/>
              </w:rPr>
            </w:pPr>
            <w:r>
              <w:t xml:space="preserve"> </w:t>
            </w:r>
          </w:p>
        </w:tc>
      </w:tr>
      <w:tr w:rsidR="00F56CF5" w14:paraId="609DAA00" w14:textId="77777777" w:rsidTr="00B26131">
        <w:trPr>
          <w:jc w:val="center"/>
        </w:trPr>
        <w:tc>
          <w:tcPr>
            <w:tcW w:w="2232" w:type="dxa"/>
            <w:tcMar>
              <w:top w:w="80" w:type="dxa"/>
              <w:left w:w="80" w:type="dxa"/>
              <w:bottom w:w="80" w:type="dxa"/>
              <w:right w:w="80" w:type="dxa"/>
            </w:tcMar>
          </w:tcPr>
          <w:p w14:paraId="2EB7386D" w14:textId="3D4D7067" w:rsidR="00F56CF5" w:rsidRDefault="00F56CF5">
            <w:pPr>
              <w:pStyle w:val="TableText12pt"/>
              <w:rPr>
                <w:rFonts w:cs="Arial"/>
              </w:rPr>
            </w:pPr>
          </w:p>
        </w:tc>
        <w:tc>
          <w:tcPr>
            <w:tcW w:w="4968" w:type="dxa"/>
            <w:tcMar>
              <w:top w:w="80" w:type="dxa"/>
              <w:left w:w="80" w:type="dxa"/>
              <w:bottom w:w="80" w:type="dxa"/>
              <w:right w:w="80" w:type="dxa"/>
            </w:tcMar>
          </w:tcPr>
          <w:p w14:paraId="45FC6EA3" w14:textId="77777777" w:rsidR="00F56CF5" w:rsidRDefault="00000000">
            <w:pPr>
              <w:pStyle w:val="TableText12pt"/>
              <w:rPr>
                <w:rFonts w:cs="Arial"/>
              </w:rPr>
            </w:pPr>
            <w:r>
              <w:t xml:space="preserve"> </w:t>
            </w:r>
          </w:p>
        </w:tc>
        <w:tc>
          <w:tcPr>
            <w:tcW w:w="7272" w:type="dxa"/>
            <w:tcMar>
              <w:top w:w="80" w:type="dxa"/>
              <w:left w:w="80" w:type="dxa"/>
              <w:bottom w:w="80" w:type="dxa"/>
              <w:right w:w="80" w:type="dxa"/>
            </w:tcMar>
          </w:tcPr>
          <w:p w14:paraId="002D302C" w14:textId="77777777" w:rsidR="00F56CF5" w:rsidRDefault="00000000">
            <w:pPr>
              <w:pStyle w:val="TableText12pt"/>
              <w:rPr>
                <w:rFonts w:cs="Arial"/>
              </w:rPr>
            </w:pPr>
            <w:r>
              <w:t xml:space="preserve"> </w:t>
            </w:r>
          </w:p>
        </w:tc>
      </w:tr>
      <w:tr w:rsidR="00F56CF5" w14:paraId="5DB23A23" w14:textId="77777777" w:rsidTr="00B26131">
        <w:trPr>
          <w:jc w:val="center"/>
        </w:trPr>
        <w:tc>
          <w:tcPr>
            <w:tcW w:w="2232" w:type="dxa"/>
            <w:tcMar>
              <w:top w:w="80" w:type="dxa"/>
              <w:left w:w="80" w:type="dxa"/>
              <w:bottom w:w="80" w:type="dxa"/>
              <w:right w:w="80" w:type="dxa"/>
            </w:tcMar>
          </w:tcPr>
          <w:p w14:paraId="1B8FADAD" w14:textId="35607FD9" w:rsidR="00F56CF5" w:rsidRDefault="00F56CF5">
            <w:pPr>
              <w:pStyle w:val="TableText12pt"/>
              <w:rPr>
                <w:rFonts w:cs="Arial"/>
              </w:rPr>
            </w:pPr>
          </w:p>
        </w:tc>
        <w:tc>
          <w:tcPr>
            <w:tcW w:w="4968" w:type="dxa"/>
            <w:tcMar>
              <w:top w:w="80" w:type="dxa"/>
              <w:left w:w="80" w:type="dxa"/>
              <w:bottom w:w="80" w:type="dxa"/>
              <w:right w:w="80" w:type="dxa"/>
            </w:tcMar>
          </w:tcPr>
          <w:p w14:paraId="72068862" w14:textId="77777777" w:rsidR="00F56CF5" w:rsidRDefault="00000000">
            <w:pPr>
              <w:pStyle w:val="TableText12pt"/>
              <w:rPr>
                <w:rFonts w:cs="Arial"/>
              </w:rPr>
            </w:pPr>
            <w:r>
              <w:t xml:space="preserve"> </w:t>
            </w:r>
          </w:p>
        </w:tc>
        <w:tc>
          <w:tcPr>
            <w:tcW w:w="7272" w:type="dxa"/>
            <w:tcMar>
              <w:top w:w="80" w:type="dxa"/>
              <w:left w:w="80" w:type="dxa"/>
              <w:bottom w:w="80" w:type="dxa"/>
              <w:right w:w="80" w:type="dxa"/>
            </w:tcMar>
          </w:tcPr>
          <w:p w14:paraId="7FAAFCD3" w14:textId="77777777" w:rsidR="00F56CF5" w:rsidRDefault="00000000">
            <w:pPr>
              <w:pStyle w:val="TableText12pt"/>
              <w:rPr>
                <w:rFonts w:cs="Arial"/>
              </w:rPr>
            </w:pPr>
            <w:r>
              <w:t xml:space="preserve"> </w:t>
            </w:r>
          </w:p>
        </w:tc>
      </w:tr>
      <w:tr w:rsidR="00F56CF5" w14:paraId="6A5F57F7" w14:textId="77777777" w:rsidTr="00B26131">
        <w:trPr>
          <w:jc w:val="center"/>
        </w:trPr>
        <w:tc>
          <w:tcPr>
            <w:tcW w:w="2232" w:type="dxa"/>
            <w:tcMar>
              <w:top w:w="80" w:type="dxa"/>
              <w:left w:w="80" w:type="dxa"/>
              <w:bottom w:w="80" w:type="dxa"/>
              <w:right w:w="80" w:type="dxa"/>
            </w:tcMar>
          </w:tcPr>
          <w:p w14:paraId="196D4AED" w14:textId="77777777" w:rsidR="00F56CF5" w:rsidRDefault="00000000">
            <w:pPr>
              <w:pStyle w:val="TableText12pt"/>
              <w:rPr>
                <w:rFonts w:cs="Arial"/>
              </w:rPr>
            </w:pPr>
            <w:r>
              <w:t xml:space="preserve"> </w:t>
            </w:r>
          </w:p>
        </w:tc>
        <w:tc>
          <w:tcPr>
            <w:tcW w:w="4968" w:type="dxa"/>
            <w:tcMar>
              <w:top w:w="80" w:type="dxa"/>
              <w:left w:w="80" w:type="dxa"/>
              <w:bottom w:w="80" w:type="dxa"/>
              <w:right w:w="80" w:type="dxa"/>
            </w:tcMar>
          </w:tcPr>
          <w:p w14:paraId="10E02364" w14:textId="77777777" w:rsidR="00F56CF5" w:rsidRDefault="00000000">
            <w:pPr>
              <w:pStyle w:val="TableText12pt"/>
              <w:rPr>
                <w:rFonts w:cs="Arial"/>
              </w:rPr>
            </w:pPr>
            <w:r>
              <w:t xml:space="preserve"> </w:t>
            </w:r>
          </w:p>
        </w:tc>
        <w:tc>
          <w:tcPr>
            <w:tcW w:w="7272" w:type="dxa"/>
            <w:tcMar>
              <w:top w:w="80" w:type="dxa"/>
              <w:left w:w="80" w:type="dxa"/>
              <w:bottom w:w="80" w:type="dxa"/>
              <w:right w:w="80" w:type="dxa"/>
            </w:tcMar>
          </w:tcPr>
          <w:p w14:paraId="01BA7D23" w14:textId="77777777" w:rsidR="00F56CF5" w:rsidRDefault="00000000">
            <w:pPr>
              <w:pStyle w:val="TableText12pt"/>
              <w:rPr>
                <w:rFonts w:cs="Arial"/>
              </w:rPr>
            </w:pPr>
            <w:r>
              <w:t xml:space="preserve"> </w:t>
            </w:r>
          </w:p>
        </w:tc>
      </w:tr>
      <w:tr w:rsidR="00F56CF5" w14:paraId="0DEB4846" w14:textId="77777777" w:rsidTr="00B26131">
        <w:trPr>
          <w:jc w:val="center"/>
        </w:trPr>
        <w:tc>
          <w:tcPr>
            <w:tcW w:w="2232" w:type="dxa"/>
            <w:tcMar>
              <w:top w:w="80" w:type="dxa"/>
              <w:left w:w="80" w:type="dxa"/>
              <w:bottom w:w="80" w:type="dxa"/>
              <w:right w:w="80" w:type="dxa"/>
            </w:tcMar>
          </w:tcPr>
          <w:p w14:paraId="66BE9E09" w14:textId="77777777" w:rsidR="00F56CF5" w:rsidRDefault="00000000">
            <w:pPr>
              <w:pStyle w:val="TableText12pt"/>
              <w:rPr>
                <w:rFonts w:cs="Arial"/>
              </w:rPr>
            </w:pPr>
            <w:r>
              <w:t xml:space="preserve"> </w:t>
            </w:r>
          </w:p>
        </w:tc>
        <w:tc>
          <w:tcPr>
            <w:tcW w:w="4968" w:type="dxa"/>
            <w:tcMar>
              <w:top w:w="80" w:type="dxa"/>
              <w:left w:w="80" w:type="dxa"/>
              <w:bottom w:w="80" w:type="dxa"/>
              <w:right w:w="80" w:type="dxa"/>
            </w:tcMar>
          </w:tcPr>
          <w:p w14:paraId="39C1A10D" w14:textId="77777777" w:rsidR="00F56CF5" w:rsidRDefault="00000000">
            <w:pPr>
              <w:pStyle w:val="TableText12pt"/>
              <w:rPr>
                <w:rFonts w:cs="Arial"/>
              </w:rPr>
            </w:pPr>
            <w:r>
              <w:t xml:space="preserve"> </w:t>
            </w:r>
          </w:p>
        </w:tc>
        <w:tc>
          <w:tcPr>
            <w:tcW w:w="7272" w:type="dxa"/>
            <w:tcMar>
              <w:top w:w="80" w:type="dxa"/>
              <w:left w:w="80" w:type="dxa"/>
              <w:bottom w:w="80" w:type="dxa"/>
              <w:right w:w="80" w:type="dxa"/>
            </w:tcMar>
          </w:tcPr>
          <w:p w14:paraId="544C4B22" w14:textId="77777777" w:rsidR="00F56CF5" w:rsidRDefault="00000000">
            <w:pPr>
              <w:pStyle w:val="TableText12pt"/>
              <w:rPr>
                <w:rFonts w:cs="Arial"/>
              </w:rPr>
            </w:pPr>
            <w:r>
              <w:t xml:space="preserve"> </w:t>
            </w:r>
          </w:p>
        </w:tc>
      </w:tr>
    </w:tbl>
    <w:p w14:paraId="16404EA5" w14:textId="77777777" w:rsidR="00205B99" w:rsidRDefault="00205B99"/>
    <w:p w14:paraId="7A417887" w14:textId="05D035F0" w:rsidR="00B26131" w:rsidRDefault="000B6C86">
      <w:proofErr w:type="gramStart"/>
      <w:r>
        <w:t>Resource</w:t>
      </w:r>
      <w:proofErr w:type="gramEnd"/>
      <w:r>
        <w:t>:</w:t>
      </w:r>
    </w:p>
    <w:p w14:paraId="072F0FFF" w14:textId="34950B4C" w:rsidR="000B6C86" w:rsidRDefault="000B6C86">
      <w:hyperlink r:id="rId9" w:history="1">
        <w:r w:rsidRPr="00D86E90">
          <w:rPr>
            <w:rStyle w:val="Hyperlink"/>
            <w:i/>
            <w:iCs/>
            <w:highlight w:val="yellow"/>
          </w:rPr>
          <w:t>CDC’s Preferred Terms</w:t>
        </w:r>
      </w:hyperlink>
      <w:r w:rsidRPr="00D86E90">
        <w:rPr>
          <w:i/>
          <w:iCs/>
          <w:highlight w:val="yellow"/>
        </w:rPr>
        <w:t xml:space="preserve"> </w:t>
      </w:r>
      <w:hyperlink r:id="rId10" w:history="1">
        <w:r>
          <w:rPr>
            <w:rStyle w:val="Hyperlink"/>
            <w:i/>
            <w:iCs/>
            <w:highlight w:val="yellow"/>
          </w:rPr>
          <w:t>for Select Population Groups &amp; Communities.</w:t>
        </w:r>
      </w:hyperlink>
      <w:r>
        <w:t xml:space="preserve"> 2024</w:t>
      </w:r>
    </w:p>
    <w:p w14:paraId="7E009347" w14:textId="77777777" w:rsidR="00A013C9" w:rsidRDefault="00A013C9"/>
    <w:p w14:paraId="40EF7DF1" w14:textId="4D63EC8B" w:rsidR="00B26131" w:rsidRDefault="00A013C9">
      <w:r>
        <w:t xml:space="preserve">Style issues </w:t>
      </w:r>
      <w:proofErr w:type="spellStart"/>
      <w:r>
        <w:t>replacelessons</w:t>
      </w:r>
      <w:proofErr w:type="spellEnd"/>
      <w:r>
        <w:t xml:space="preserve"> </w:t>
      </w:r>
      <w:proofErr w:type="gramStart"/>
      <w:r>
        <w:t>learned ,</w:t>
      </w:r>
      <w:proofErr w:type="gramEnd"/>
      <w:r>
        <w:t xml:space="preserve"> best practice and </w:t>
      </w:r>
      <w:proofErr w:type="spellStart"/>
      <w:r>
        <w:t>vulnerabele</w:t>
      </w:r>
      <w:proofErr w:type="spellEnd"/>
      <w:r>
        <w:t xml:space="preserve"> – insert link see for </w:t>
      </w:r>
      <w:proofErr w:type="gramStart"/>
      <w:r>
        <w:t>what  it</w:t>
      </w:r>
      <w:proofErr w:type="gramEnd"/>
      <w:r>
        <w:t xml:space="preserve"> </w:t>
      </w:r>
      <w:proofErr w:type="spellStart"/>
      <w:r>
        <w:t>mattersL</w:t>
      </w:r>
      <w:proofErr w:type="spellEnd"/>
      <w:r w:rsidR="00B26131">
        <w:br w:type="page"/>
      </w:r>
    </w:p>
    <w:p w14:paraId="34F92243" w14:textId="77777777" w:rsidR="000B6C86" w:rsidRDefault="000B6C86"/>
    <w:sectPr w:rsidR="000B6C86" w:rsidSect="00034616">
      <w:footerReference w:type="default" r:id="rId11"/>
      <w:pgSz w:w="15840" w:h="12240" w:orient="landscape"/>
      <w:pgMar w:top="792" w:right="792" w:bottom="792"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6CCEC" w14:textId="77777777" w:rsidR="00102DE7" w:rsidRDefault="00102DE7" w:rsidP="00B26131">
      <w:pPr>
        <w:spacing w:after="0" w:line="240" w:lineRule="auto"/>
      </w:pPr>
      <w:r>
        <w:separator/>
      </w:r>
    </w:p>
  </w:endnote>
  <w:endnote w:type="continuationSeparator" w:id="0">
    <w:p w14:paraId="49B87F80" w14:textId="77777777" w:rsidR="00102DE7" w:rsidRDefault="00102DE7" w:rsidP="00B26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897550"/>
      <w:docPartObj>
        <w:docPartGallery w:val="Page Numbers (Bottom of Page)"/>
        <w:docPartUnique/>
      </w:docPartObj>
    </w:sdtPr>
    <w:sdtContent>
      <w:sdt>
        <w:sdtPr>
          <w:id w:val="-1769616900"/>
          <w:docPartObj>
            <w:docPartGallery w:val="Page Numbers (Top of Page)"/>
            <w:docPartUnique/>
          </w:docPartObj>
        </w:sdtPr>
        <w:sdtContent>
          <w:p w14:paraId="508DB95C" w14:textId="3319E1A0" w:rsidR="00B26131" w:rsidRDefault="00B26131">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22C04389" w14:textId="77777777" w:rsidR="00B26131" w:rsidRDefault="00B261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7D1B6" w14:textId="77777777" w:rsidR="00102DE7" w:rsidRDefault="00102DE7" w:rsidP="00B26131">
      <w:pPr>
        <w:spacing w:after="0" w:line="240" w:lineRule="auto"/>
      </w:pPr>
      <w:r>
        <w:separator/>
      </w:r>
    </w:p>
  </w:footnote>
  <w:footnote w:type="continuationSeparator" w:id="0">
    <w:p w14:paraId="537AB507" w14:textId="77777777" w:rsidR="00102DE7" w:rsidRDefault="00102DE7" w:rsidP="00B261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8523A8"/>
    <w:multiLevelType w:val="multilevel"/>
    <w:tmpl w:val="2E3E6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B1590B"/>
    <w:multiLevelType w:val="multilevel"/>
    <w:tmpl w:val="A8E27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E97F32"/>
    <w:multiLevelType w:val="multilevel"/>
    <w:tmpl w:val="EC38C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A60525"/>
    <w:multiLevelType w:val="multilevel"/>
    <w:tmpl w:val="28E08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0A1CCC"/>
    <w:multiLevelType w:val="multilevel"/>
    <w:tmpl w:val="DD84A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75754A"/>
    <w:multiLevelType w:val="multilevel"/>
    <w:tmpl w:val="F1E68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8D293F"/>
    <w:multiLevelType w:val="multilevel"/>
    <w:tmpl w:val="05284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AD4CE1"/>
    <w:multiLevelType w:val="multilevel"/>
    <w:tmpl w:val="47B8C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4564756">
    <w:abstractNumId w:val="8"/>
  </w:num>
  <w:num w:numId="2" w16cid:durableId="970860147">
    <w:abstractNumId w:val="6"/>
  </w:num>
  <w:num w:numId="3" w16cid:durableId="1161696375">
    <w:abstractNumId w:val="5"/>
  </w:num>
  <w:num w:numId="4" w16cid:durableId="674265174">
    <w:abstractNumId w:val="4"/>
  </w:num>
  <w:num w:numId="5" w16cid:durableId="367143150">
    <w:abstractNumId w:val="7"/>
  </w:num>
  <w:num w:numId="6" w16cid:durableId="1934627992">
    <w:abstractNumId w:val="3"/>
  </w:num>
  <w:num w:numId="7" w16cid:durableId="682127428">
    <w:abstractNumId w:val="2"/>
  </w:num>
  <w:num w:numId="8" w16cid:durableId="1388722898">
    <w:abstractNumId w:val="1"/>
  </w:num>
  <w:num w:numId="9" w16cid:durableId="1516268655">
    <w:abstractNumId w:val="0"/>
  </w:num>
  <w:num w:numId="10" w16cid:durableId="1797022762">
    <w:abstractNumId w:val="16"/>
  </w:num>
  <w:num w:numId="11" w16cid:durableId="1011445056">
    <w:abstractNumId w:val="14"/>
  </w:num>
  <w:num w:numId="12" w16cid:durableId="1827014435">
    <w:abstractNumId w:val="11"/>
  </w:num>
  <w:num w:numId="13" w16cid:durableId="1586184676">
    <w:abstractNumId w:val="15"/>
  </w:num>
  <w:num w:numId="14" w16cid:durableId="1705902973">
    <w:abstractNumId w:val="10"/>
  </w:num>
  <w:num w:numId="15" w16cid:durableId="872424567">
    <w:abstractNumId w:val="13"/>
  </w:num>
  <w:num w:numId="16" w16cid:durableId="1607494359">
    <w:abstractNumId w:val="12"/>
  </w:num>
  <w:num w:numId="17" w16cid:durableId="678233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6E8C"/>
    <w:rsid w:val="00092543"/>
    <w:rsid w:val="000B6C86"/>
    <w:rsid w:val="000F7362"/>
    <w:rsid w:val="00102DE7"/>
    <w:rsid w:val="0015074B"/>
    <w:rsid w:val="00205B99"/>
    <w:rsid w:val="00242F96"/>
    <w:rsid w:val="00253EDD"/>
    <w:rsid w:val="0029639D"/>
    <w:rsid w:val="002C14F0"/>
    <w:rsid w:val="00326F90"/>
    <w:rsid w:val="00392E8F"/>
    <w:rsid w:val="0041696F"/>
    <w:rsid w:val="004A44A6"/>
    <w:rsid w:val="004B166B"/>
    <w:rsid w:val="004C6B82"/>
    <w:rsid w:val="005E1FCE"/>
    <w:rsid w:val="005F29CB"/>
    <w:rsid w:val="00613053"/>
    <w:rsid w:val="006965D3"/>
    <w:rsid w:val="007A4AF9"/>
    <w:rsid w:val="00921BFF"/>
    <w:rsid w:val="00A013C9"/>
    <w:rsid w:val="00A275B0"/>
    <w:rsid w:val="00A81B3F"/>
    <w:rsid w:val="00AA1D8D"/>
    <w:rsid w:val="00AE6870"/>
    <w:rsid w:val="00B26131"/>
    <w:rsid w:val="00B40D11"/>
    <w:rsid w:val="00B47730"/>
    <w:rsid w:val="00BD3BE0"/>
    <w:rsid w:val="00C8723B"/>
    <w:rsid w:val="00CB0664"/>
    <w:rsid w:val="00CC08C1"/>
    <w:rsid w:val="00D41DA8"/>
    <w:rsid w:val="00DC691D"/>
    <w:rsid w:val="00E066B2"/>
    <w:rsid w:val="00E64CDA"/>
    <w:rsid w:val="00E66016"/>
    <w:rsid w:val="00E854B1"/>
    <w:rsid w:val="00EC4606"/>
    <w:rsid w:val="00ED1EE0"/>
    <w:rsid w:val="00F12D07"/>
    <w:rsid w:val="00F56CF5"/>
    <w:rsid w:val="00F74C2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8EFA8D"/>
  <w14:defaultImageDpi w14:val="300"/>
  <w15:docId w15:val="{33507D93-05C8-4C4A-88B6-8D8E9E649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C86"/>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style>
  <w:style w:type="character" w:customStyle="1" w:styleId="BodyText3Char">
    <w:name w:val="Body Text 3 Char"/>
    <w:basedOn w:val="DefaultParagraphFont"/>
    <w:link w:val="BodyText3"/>
    <w:uiPriority w:val="99"/>
    <w:rsid w:val="00AA1D8D"/>
    <w:rPr>
      <w:sz w:val="24"/>
      <w:szCs w:val="24"/>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rPr>
  </w:style>
  <w:style w:type="character" w:customStyle="1" w:styleId="MacroTextChar">
    <w:name w:val="Macro Text Char"/>
    <w:basedOn w:val="DefaultParagraphFont"/>
    <w:link w:val="MacroText"/>
    <w:uiPriority w:val="99"/>
    <w:rsid w:val="0029639D"/>
    <w:rPr>
      <w:rFonts w:ascii="Courier" w:hAnsi="Courier"/>
      <w:sz w:val="24"/>
      <w:szCs w:val="24"/>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4"/>
      <w:szCs w:val="24"/>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4"/>
      <w:szCs w:val="24"/>
    </w:rPr>
  </w:style>
  <w:style w:type="paragraph" w:styleId="Caption">
    <w:name w:val="caption"/>
    <w:basedOn w:val="Normal"/>
    <w:next w:val="Normal"/>
    <w:uiPriority w:val="35"/>
    <w:semiHidden/>
    <w:unhideWhenUsed/>
    <w:qFormat/>
    <w:rsid w:val="00FC693F"/>
    <w:pPr>
      <w:spacing w:line="240" w:lineRule="auto"/>
    </w:pPr>
    <w:rPr>
      <w:b/>
      <w:bCs/>
      <w:color w:val="4F81BD" w:themeColor="accent1"/>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ableText12pt">
    <w:name w:val="Table Text 12 pt"/>
    <w:basedOn w:val="Normal"/>
  </w:style>
  <w:style w:type="paragraph" w:customStyle="1" w:styleId="TableHeader12pt">
    <w:name w:val="Table Header 12 pt"/>
    <w:basedOn w:val="Normal"/>
    <w:rPr>
      <w:b/>
    </w:rPr>
  </w:style>
  <w:style w:type="character" w:styleId="Hyperlink">
    <w:name w:val="Hyperlink"/>
    <w:basedOn w:val="DefaultParagraphFont"/>
    <w:uiPriority w:val="99"/>
    <w:unhideWhenUsed/>
    <w:rsid w:val="004A44A6"/>
    <w:rPr>
      <w:color w:val="0000FF" w:themeColor="hyperlink"/>
      <w:u w:val="single"/>
    </w:rPr>
  </w:style>
  <w:style w:type="character" w:styleId="UnresolvedMention">
    <w:name w:val="Unresolved Mention"/>
    <w:basedOn w:val="DefaultParagraphFont"/>
    <w:uiPriority w:val="99"/>
    <w:semiHidden/>
    <w:unhideWhenUsed/>
    <w:rsid w:val="00A81B3F"/>
    <w:rPr>
      <w:color w:val="605E5C"/>
      <w:shd w:val="clear" w:color="auto" w:fill="E1DFDD"/>
    </w:rPr>
  </w:style>
  <w:style w:type="character" w:styleId="FollowedHyperlink">
    <w:name w:val="FollowedHyperlink"/>
    <w:basedOn w:val="DefaultParagraphFont"/>
    <w:uiPriority w:val="99"/>
    <w:semiHidden/>
    <w:unhideWhenUsed/>
    <w:rsid w:val="00D41D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nekailes.com/wp-content/uploads/2026/01/Special.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cdc.gov/health-communication/php/toolkit/preferred-terms.html" TargetMode="External"/><Relationship Id="rId4" Type="http://schemas.openxmlformats.org/officeDocument/2006/relationships/settings" Target="settings.xml"/><Relationship Id="rId9" Type="http://schemas.openxmlformats.org/officeDocument/2006/relationships/hyperlink" Target="https://www.cdc.gov/health-communication/php/toolkit/preferred-ter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934</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June Kailes</cp:lastModifiedBy>
  <cp:revision>2</cp:revision>
  <dcterms:created xsi:type="dcterms:W3CDTF">2026-08-25T03:07:00Z</dcterms:created>
  <dcterms:modified xsi:type="dcterms:W3CDTF">2026-08-25T03:07:00Z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f8a669f9-2263-457b-8f0f-845ef05c44dd</vt:lpwstr>
  </property>
</Properties>
</file>