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C33C" w14:textId="46BB0026" w:rsidR="002D19BD" w:rsidRPr="002D19BD" w:rsidRDefault="002D19BD">
      <w:pPr>
        <w:spacing w:after="480"/>
        <w:jc w:val="center"/>
        <w:rPr>
          <w:rFonts w:ascii="Arial" w:hAnsi="Arial" w:cs="Arial"/>
          <w:b/>
          <w:bCs/>
          <w:sz w:val="48"/>
          <w:szCs w:val="48"/>
        </w:rPr>
      </w:pPr>
      <w:r w:rsidRPr="002D19BD">
        <w:rPr>
          <w:rFonts w:ascii="Arial" w:hAnsi="Arial" w:cs="Arial"/>
          <w:b/>
          <w:bCs/>
          <w:sz w:val="48"/>
          <w:szCs w:val="48"/>
        </w:rPr>
        <w:t>Trusted Messages Result from Good Design</w:t>
      </w:r>
    </w:p>
    <w:p w14:paraId="2C3CB20E" w14:textId="6DB58A5B" w:rsidR="00AC1D92" w:rsidRDefault="00000000">
      <w:pPr>
        <w:spacing w:after="480"/>
        <w:jc w:val="center"/>
      </w:pPr>
      <w:r>
        <w:rPr>
          <w:rFonts w:ascii="Arial" w:hAnsi="Arial"/>
          <w:i/>
          <w:color w:val="555555"/>
          <w:sz w:val="24"/>
        </w:rPr>
        <w:t>A Complete Discussion Transcript Grounded in the Work of June Isaacson Kailes</w:t>
      </w:r>
    </w:p>
    <w:p w14:paraId="2F878CD1" w14:textId="77777777" w:rsidR="00AC1D92" w:rsidRDefault="00000000">
      <w:pPr>
        <w:spacing w:after="360"/>
      </w:pPr>
      <w:r>
        <w:rPr>
          <w:rFonts w:ascii="Arial" w:hAnsi="Arial"/>
          <w:b/>
          <w:color w:val="444444"/>
          <w:sz w:val="20"/>
        </w:rPr>
        <w:t xml:space="preserve">Speakers: </w:t>
      </w:r>
      <w:r>
        <w:rPr>
          <w:rFonts w:ascii="Arial" w:hAnsi="Arial"/>
          <w:color w:val="444444"/>
          <w:sz w:val="20"/>
        </w:rPr>
        <w:t>Todd (Host 1) &amp; Sarah (Host 2)</w:t>
      </w:r>
      <w:r>
        <w:rPr>
          <w:rFonts w:ascii="Arial" w:hAnsi="Arial"/>
          <w:color w:val="444444"/>
          <w:sz w:val="20"/>
        </w:rPr>
        <w:br/>
      </w:r>
      <w:r>
        <w:rPr>
          <w:rFonts w:ascii="Arial" w:hAnsi="Arial"/>
          <w:b/>
          <w:color w:val="444444"/>
          <w:sz w:val="20"/>
        </w:rPr>
        <w:t xml:space="preserve">Target Duration: </w:t>
      </w:r>
      <w:r>
        <w:rPr>
          <w:rFonts w:ascii="Arial" w:hAnsi="Arial"/>
          <w:color w:val="444444"/>
          <w:sz w:val="20"/>
        </w:rPr>
        <w:t>20–25 Minutes</w:t>
      </w:r>
      <w:r>
        <w:rPr>
          <w:rFonts w:ascii="Arial" w:hAnsi="Arial"/>
          <w:color w:val="444444"/>
          <w:sz w:val="20"/>
        </w:rPr>
        <w:br/>
      </w:r>
      <w:r>
        <w:rPr>
          <w:rFonts w:ascii="Arial" w:hAnsi="Arial"/>
          <w:b/>
          <w:color w:val="444444"/>
          <w:sz w:val="20"/>
        </w:rPr>
        <w:t xml:space="preserve">Based on: </w:t>
      </w:r>
      <w:r>
        <w:rPr>
          <w:rFonts w:ascii="Arial" w:hAnsi="Arial"/>
          <w:color w:val="444444"/>
          <w:sz w:val="20"/>
        </w:rPr>
        <w:t>June Isaacson Kailes's 2026 Access and Functional Needs Conference Presentation and Published Materials</w:t>
      </w:r>
      <w:r>
        <w:rPr>
          <w:rFonts w:ascii="Arial" w:hAnsi="Arial"/>
          <w:color w:val="444444"/>
          <w:sz w:val="20"/>
        </w:rPr>
        <w:br/>
      </w:r>
    </w:p>
    <w:p w14:paraId="7E31FD92" w14:textId="77777777" w:rsidR="00AC1D92" w:rsidRDefault="00AC1D92">
      <w:pPr>
        <w:spacing w:after="240"/>
      </w:pPr>
    </w:p>
    <w:tbl>
      <w:tblPr>
        <w:tblW w:w="0" w:type="auto"/>
        <w:tblLayout w:type="fixed"/>
        <w:tblLook w:val="04A0" w:firstRow="1" w:lastRow="0" w:firstColumn="1" w:lastColumn="0" w:noHBand="0" w:noVBand="1"/>
      </w:tblPr>
      <w:tblGrid>
        <w:gridCol w:w="9360"/>
      </w:tblGrid>
      <w:tr w:rsidR="00AC1D92" w14:paraId="64AC18C8" w14:textId="77777777">
        <w:tc>
          <w:tcPr>
            <w:tcW w:w="9360" w:type="dxa"/>
            <w:tcBorders>
              <w:left w:val="single" w:sz="24" w:space="0" w:color="1B365D"/>
            </w:tcBorders>
            <w:shd w:val="clear" w:color="auto" w:fill="F0F4F8"/>
          </w:tcPr>
          <w:p w14:paraId="5ED9CD76" w14:textId="77777777" w:rsidR="00AC1D92" w:rsidRDefault="00000000">
            <w:pPr>
              <w:spacing w:before="120" w:after="120"/>
              <w:ind w:left="216" w:right="216"/>
            </w:pPr>
            <w:r>
              <w:rPr>
                <w:rFonts w:ascii="Arial" w:hAnsi="Arial"/>
                <w:i/>
                <w:color w:val="333333"/>
                <w:sz w:val="21"/>
              </w:rPr>
              <w:t>This Deep Dive podcast is based on the work of June Isaacson Kailes, MSW, a disability policy consultant with over 40 years of full-time practice in emergency planning, response, and recovery. June is internationally recognized for advancing practical, function-based approaches that improve access for people with disabilities and others with access and functional needs.</w:t>
            </w:r>
          </w:p>
        </w:tc>
      </w:tr>
    </w:tbl>
    <w:p w14:paraId="393FA698" w14:textId="77777777" w:rsidR="00AC1D92" w:rsidRDefault="00AC1D92">
      <w:pPr>
        <w:spacing w:after="240"/>
      </w:pPr>
    </w:p>
    <w:p w14:paraId="59E6EB4F" w14:textId="77777777" w:rsidR="00AC1D92" w:rsidRDefault="00000000">
      <w:pPr>
        <w:spacing w:after="160"/>
      </w:pPr>
      <w:r>
        <w:rPr>
          <w:rFonts w:ascii="Arial" w:hAnsi="Arial"/>
          <w:b/>
          <w:color w:val="1B365D"/>
        </w:rPr>
        <w:t xml:space="preserve">Todd: </w:t>
      </w:r>
      <w:r>
        <w:rPr>
          <w:rFonts w:ascii="Arial" w:hAnsi="Arial"/>
          <w:color w:val="222222"/>
        </w:rPr>
        <w:t xml:space="preserve">Welcome to this episode of Deep Dive. Today, we are focusing on a concept that is </w:t>
      </w:r>
      <w:proofErr w:type="gramStart"/>
      <w:r>
        <w:rPr>
          <w:rFonts w:ascii="Arial" w:hAnsi="Arial"/>
          <w:color w:val="222222"/>
        </w:rPr>
        <w:t>absolutely central</w:t>
      </w:r>
      <w:proofErr w:type="gramEnd"/>
      <w:r>
        <w:rPr>
          <w:rFonts w:ascii="Arial" w:hAnsi="Arial"/>
          <w:color w:val="222222"/>
        </w:rPr>
        <w:t xml:space="preserve"> to surviving a crisis, and yet it is so often treated as a vague, abstract afterthought. We are talking about public trust. This Deep Dive podcast is based on the work of June Isaacson Kailes.</w:t>
      </w:r>
    </w:p>
    <w:p w14:paraId="0ADE2A97" w14:textId="77777777" w:rsidR="00AC1D92" w:rsidRDefault="00000000">
      <w:pPr>
        <w:spacing w:after="160"/>
      </w:pPr>
      <w:r>
        <w:rPr>
          <w:rFonts w:ascii="Arial" w:hAnsi="Arial"/>
          <w:b/>
          <w:color w:val="1B365D"/>
        </w:rPr>
        <w:t xml:space="preserve">Sarah: </w:t>
      </w:r>
      <w:r>
        <w:rPr>
          <w:rFonts w:ascii="Arial" w:hAnsi="Arial"/>
          <w:color w:val="222222"/>
        </w:rPr>
        <w:t xml:space="preserve">That's right, Todd. June is a highly respected disability policy consultant based in Los Angeles, and for over four decades, she has worked with states, local jurisdictions, NGOs, and federal agencies in the emergency field. Her focus is always about replacing vague elements of disability etiquette—like sensitivity, awareness, and mere legal compliance—with clear, actionable, detailed, and measurable building blocks. Her work bridges the gap between </w:t>
      </w:r>
      <w:proofErr w:type="gramStart"/>
      <w:r>
        <w:rPr>
          <w:rFonts w:ascii="Arial" w:hAnsi="Arial"/>
          <w:color w:val="222222"/>
        </w:rPr>
        <w:t>lived disability experience</w:t>
      </w:r>
      <w:proofErr w:type="gramEnd"/>
      <w:r>
        <w:rPr>
          <w:rFonts w:ascii="Arial" w:hAnsi="Arial"/>
          <w:color w:val="222222"/>
        </w:rPr>
        <w:t xml:space="preserve"> and operational emergency services.</w:t>
      </w:r>
    </w:p>
    <w:p w14:paraId="0814A41F" w14:textId="77777777" w:rsidR="00AC1D92" w:rsidRDefault="00000000">
      <w:pPr>
        <w:spacing w:after="160"/>
      </w:pPr>
      <w:r>
        <w:rPr>
          <w:rFonts w:ascii="Arial" w:hAnsi="Arial"/>
          <w:b/>
          <w:color w:val="1B365D"/>
        </w:rPr>
        <w:t xml:space="preserve">Todd: </w:t>
      </w:r>
      <w:r>
        <w:rPr>
          <w:rFonts w:ascii="Arial" w:hAnsi="Arial"/>
          <w:color w:val="222222"/>
        </w:rPr>
        <w:t xml:space="preserve">And June argues something very striking right out of the gate: trust is more than a feeling. It is </w:t>
      </w:r>
      <w:proofErr w:type="gramStart"/>
      <w:r>
        <w:rPr>
          <w:rFonts w:ascii="Arial" w:hAnsi="Arial"/>
          <w:color w:val="222222"/>
        </w:rPr>
        <w:t>actually the</w:t>
      </w:r>
      <w:proofErr w:type="gramEnd"/>
      <w:r>
        <w:rPr>
          <w:rFonts w:ascii="Arial" w:hAnsi="Arial"/>
          <w:color w:val="222222"/>
        </w:rPr>
        <w:t xml:space="preserve"> direct impact of good design. In emergencies, the best public-facing communication fails completely if trust is missing. But let's start with the reality of where we are today. Trust in government is down relative to historical baselines, but as June explains, it hasn't eroded evenly.</w:t>
      </w:r>
    </w:p>
    <w:p w14:paraId="1AE8F4C2" w14:textId="77777777" w:rsidR="00AC1D92" w:rsidRDefault="00000000">
      <w:pPr>
        <w:spacing w:after="160"/>
      </w:pPr>
      <w:r>
        <w:rPr>
          <w:rFonts w:ascii="Arial" w:hAnsi="Arial"/>
          <w:b/>
          <w:color w:val="1B365D"/>
        </w:rPr>
        <w:t xml:space="preserve">Sarah: </w:t>
      </w:r>
      <w:r>
        <w:rPr>
          <w:rFonts w:ascii="Arial" w:hAnsi="Arial"/>
          <w:color w:val="222222"/>
        </w:rPr>
        <w:t>Exactly. June points to recent data to show this. For example, a Pew Research survey from late 2023 found that only 22 percent of Americans had favorable views of the federal government, compared to 50 percent for state governments, and 61 percent for local governments. Similarly, a Gallup poll from late 2025 showed that 59 percent of people trusted their state government, and 65 percent trusted their local government to handle problems. So, while overall trust is down, people still view state and local governments much more favorably than federal institutions.</w:t>
      </w:r>
    </w:p>
    <w:p w14:paraId="7602727E" w14:textId="77777777" w:rsidR="00AC1D92" w:rsidRDefault="00000000">
      <w:pPr>
        <w:spacing w:after="160"/>
      </w:pPr>
      <w:r>
        <w:rPr>
          <w:rFonts w:ascii="Arial" w:hAnsi="Arial"/>
          <w:b/>
          <w:color w:val="1B365D"/>
        </w:rPr>
        <w:t xml:space="preserve">Todd: </w:t>
      </w:r>
      <w:r>
        <w:rPr>
          <w:rFonts w:ascii="Arial" w:hAnsi="Arial"/>
          <w:color w:val="222222"/>
        </w:rPr>
        <w:t xml:space="preserve">Which means local emergency managers </w:t>
      </w:r>
      <w:proofErr w:type="gramStart"/>
      <w:r>
        <w:rPr>
          <w:rFonts w:ascii="Arial" w:hAnsi="Arial"/>
          <w:color w:val="222222"/>
        </w:rPr>
        <w:t>actually have</w:t>
      </w:r>
      <w:proofErr w:type="gramEnd"/>
      <w:r>
        <w:rPr>
          <w:rFonts w:ascii="Arial" w:hAnsi="Arial"/>
          <w:color w:val="222222"/>
        </w:rPr>
        <w:t xml:space="preserve"> a huge opportunity and responsibility. They might not control national trust trends, but they can directly control whether their local messaging and emergency systems earn confidence. June states that when local systems fail—through false alerts, delayed warnings, inaccessible maps, and unclear zone boundaries—people stop listening to officials. They turn to peers, social media, and unofficial mobile apps for situational awareness. And that shift is far more than a </w:t>
      </w:r>
      <w:r>
        <w:rPr>
          <w:rFonts w:ascii="Arial" w:hAnsi="Arial"/>
          <w:color w:val="222222"/>
        </w:rPr>
        <w:lastRenderedPageBreak/>
        <w:t>simple communications problem. It is a critical life-safety problem, especially for people with disabilities, older adults, and those who are already served last and worst during disasters.</w:t>
      </w:r>
    </w:p>
    <w:p w14:paraId="56EF3891" w14:textId="77777777" w:rsidR="00AC1D92" w:rsidRDefault="00000000">
      <w:pPr>
        <w:spacing w:after="160"/>
      </w:pPr>
      <w:r>
        <w:rPr>
          <w:rFonts w:ascii="Arial" w:hAnsi="Arial"/>
          <w:b/>
          <w:color w:val="1B365D"/>
        </w:rPr>
        <w:t xml:space="preserve">Sarah: </w:t>
      </w:r>
      <w:r>
        <w:rPr>
          <w:rFonts w:ascii="Arial" w:hAnsi="Arial"/>
          <w:color w:val="222222"/>
        </w:rPr>
        <w:t>It really is. And June urges us to move away from theoretical, vague 'plan-to-plan' boilerplate and start producing real-world fixes that the public can see, verify, and use. Words are meaningless unless they are paired with actions that match their intent. To make this operational, June breaks down five core messaging areas through the lenses of trust-related problems and concrete fixes. Let's dive into the very first area: measuring impact.</w:t>
      </w:r>
    </w:p>
    <w:p w14:paraId="325A08FD" w14:textId="77777777" w:rsidR="00AC1D92" w:rsidRDefault="00000000">
      <w:pPr>
        <w:spacing w:after="160"/>
      </w:pPr>
      <w:r>
        <w:rPr>
          <w:rFonts w:ascii="Arial" w:hAnsi="Arial"/>
          <w:b/>
          <w:color w:val="1B365D"/>
        </w:rPr>
        <w:t xml:space="preserve">Todd: </w:t>
      </w:r>
      <w:r>
        <w:rPr>
          <w:rFonts w:ascii="Arial" w:hAnsi="Arial"/>
          <w:color w:val="222222"/>
        </w:rPr>
        <w:t xml:space="preserve">Right. Lesson one </w:t>
      </w:r>
      <w:proofErr w:type="gramStart"/>
      <w:r>
        <w:rPr>
          <w:rFonts w:ascii="Arial" w:hAnsi="Arial"/>
          <w:color w:val="222222"/>
        </w:rPr>
        <w:t>is:</w:t>
      </w:r>
      <w:proofErr w:type="gramEnd"/>
      <w:r>
        <w:rPr>
          <w:rFonts w:ascii="Arial" w:hAnsi="Arial"/>
          <w:color w:val="222222"/>
        </w:rPr>
        <w:t xml:space="preserve"> Measure Impact—because what gets measured gets </w:t>
      </w:r>
      <w:proofErr w:type="gramStart"/>
      <w:r>
        <w:rPr>
          <w:rFonts w:ascii="Arial" w:hAnsi="Arial"/>
          <w:color w:val="222222"/>
        </w:rPr>
        <w:t>attention, and</w:t>
      </w:r>
      <w:proofErr w:type="gramEnd"/>
      <w:r>
        <w:rPr>
          <w:rFonts w:ascii="Arial" w:hAnsi="Arial"/>
          <w:color w:val="222222"/>
        </w:rPr>
        <w:t xml:space="preserve"> gets budgeted! Most organizations simply do not measure whether their emergency messaging </w:t>
      </w:r>
      <w:proofErr w:type="gramStart"/>
      <w:r>
        <w:rPr>
          <w:rFonts w:ascii="Arial" w:hAnsi="Arial"/>
          <w:color w:val="222222"/>
        </w:rPr>
        <w:t>actually works</w:t>
      </w:r>
      <w:proofErr w:type="gramEnd"/>
      <w:r>
        <w:rPr>
          <w:rFonts w:ascii="Arial" w:hAnsi="Arial"/>
          <w:color w:val="222222"/>
        </w:rPr>
        <w:t xml:space="preserve">. Instead, they routinely measure what June calls 'activities' or 'inputs'—like saying 'we sent 12 alerts'—and 'outputs' like 'we posted 40 social media updates.' But they aren't measuring what </w:t>
      </w:r>
      <w:proofErr w:type="gramStart"/>
      <w:r>
        <w:rPr>
          <w:rFonts w:ascii="Arial" w:hAnsi="Arial"/>
          <w:color w:val="222222"/>
        </w:rPr>
        <w:t>actually matters</w:t>
      </w:r>
      <w:proofErr w:type="gramEnd"/>
      <w:r>
        <w:rPr>
          <w:rFonts w:ascii="Arial" w:hAnsi="Arial"/>
          <w:color w:val="222222"/>
        </w:rPr>
        <w:t>. Did people receive the message? Did they understand it? Did they believe it, act on it, and get help if they requested it?</w:t>
      </w:r>
    </w:p>
    <w:p w14:paraId="4317A47B" w14:textId="77777777" w:rsidR="00AC1D92" w:rsidRDefault="00000000">
      <w:pPr>
        <w:spacing w:after="160"/>
      </w:pPr>
      <w:r>
        <w:rPr>
          <w:rFonts w:ascii="Arial" w:hAnsi="Arial"/>
          <w:b/>
          <w:color w:val="1B365D"/>
        </w:rPr>
        <w:t xml:space="preserve">Sarah: </w:t>
      </w:r>
      <w:r>
        <w:rPr>
          <w:rFonts w:ascii="Arial" w:hAnsi="Arial"/>
          <w:color w:val="222222"/>
        </w:rPr>
        <w:t xml:space="preserve">Exactly, and the fix June recommends is to collect, track, and publish meaningful metrics. Don't just say 'things are improving.' Show </w:t>
      </w:r>
      <w:proofErr w:type="gramStart"/>
      <w:r>
        <w:rPr>
          <w:rFonts w:ascii="Arial" w:hAnsi="Arial"/>
          <w:color w:val="222222"/>
        </w:rPr>
        <w:t>the proof</w:t>
      </w:r>
      <w:proofErr w:type="gramEnd"/>
      <w:r>
        <w:rPr>
          <w:rFonts w:ascii="Arial" w:hAnsi="Arial"/>
          <w:color w:val="222222"/>
        </w:rPr>
        <w:t xml:space="preserve"> that the system is working! June recommends building quick feedback loops directly into key emergency messages. For example, using mass notification platforms like Everbridge, you can build two-way questions into alerts. If you send an alert </w:t>
      </w:r>
      <w:proofErr w:type="gramStart"/>
      <w:r>
        <w:rPr>
          <w:rFonts w:ascii="Arial" w:hAnsi="Arial"/>
          <w:color w:val="222222"/>
        </w:rPr>
        <w:t>saying</w:t>
      </w:r>
      <w:proofErr w:type="gramEnd"/>
      <w:r>
        <w:rPr>
          <w:rFonts w:ascii="Arial" w:hAnsi="Arial"/>
          <w:color w:val="222222"/>
        </w:rPr>
        <w:t xml:space="preserve"> 'People needing transit evacuation help should call 911,' you should immediately follow up with: 'Did you get this alert? Press 1 for yes, 2 for no. If you called for help, did you get it? Press 1 for yes, 2 for no.' Or, if you share a map, ask: 'Were the maps helpful? Were the map text descriptions helpful?'</w:t>
      </w:r>
    </w:p>
    <w:p w14:paraId="7D0DE2F7" w14:textId="77777777" w:rsidR="00AC1D92" w:rsidRDefault="00000000">
      <w:pPr>
        <w:spacing w:after="160"/>
      </w:pPr>
      <w:r>
        <w:rPr>
          <w:rFonts w:ascii="Arial" w:hAnsi="Arial"/>
          <w:b/>
          <w:color w:val="1B365D"/>
        </w:rPr>
        <w:t xml:space="preserve">Todd: </w:t>
      </w:r>
      <w:r>
        <w:rPr>
          <w:rFonts w:ascii="Arial" w:hAnsi="Arial"/>
          <w:color w:val="222222"/>
        </w:rPr>
        <w:t xml:space="preserve">That detail about maps is huge, Sarah. June explains that many people treat maps as trusted tools until they fail. If maps are glitchy, slow to load, don't work well on mobile devices, or aren't updated, people lose trust. Plus, for many </w:t>
      </w:r>
      <w:proofErr w:type="gramStart"/>
      <w:r>
        <w:rPr>
          <w:rFonts w:ascii="Arial" w:hAnsi="Arial"/>
          <w:color w:val="222222"/>
        </w:rPr>
        <w:t>individuals—</w:t>
      </w:r>
      <w:proofErr w:type="gramEnd"/>
      <w:r>
        <w:rPr>
          <w:rFonts w:ascii="Arial" w:hAnsi="Arial"/>
          <w:color w:val="222222"/>
        </w:rPr>
        <w:t>including those with low or no vision, or people who simply aren't 'map people'</w:t>
      </w:r>
      <w:proofErr w:type="gramStart"/>
      <w:r>
        <w:rPr>
          <w:rFonts w:ascii="Arial" w:hAnsi="Arial"/>
          <w:color w:val="222222"/>
        </w:rPr>
        <w:t>—maps</w:t>
      </w:r>
      <w:proofErr w:type="gramEnd"/>
      <w:r>
        <w:rPr>
          <w:rFonts w:ascii="Arial" w:hAnsi="Arial"/>
          <w:color w:val="222222"/>
        </w:rPr>
        <w:t xml:space="preserve"> don't work at all. This is why June argues that plain-text boundary descriptions are critical. They must be standardized, using terms like NORTH OF, SOUTH OF, EAST OF, or WEST OF, referencing major streets and landmarks. That plain-text description is a major trust-building feature.</w:t>
      </w:r>
    </w:p>
    <w:p w14:paraId="18C9073B" w14:textId="77777777" w:rsidR="00AC1D92" w:rsidRDefault="00000000">
      <w:pPr>
        <w:spacing w:after="160"/>
      </w:pPr>
      <w:r>
        <w:rPr>
          <w:rFonts w:ascii="Arial" w:hAnsi="Arial"/>
          <w:b/>
          <w:color w:val="1B365D"/>
        </w:rPr>
        <w:t xml:space="preserve">Sarah: </w:t>
      </w:r>
      <w:r>
        <w:rPr>
          <w:rFonts w:ascii="Arial" w:hAnsi="Arial"/>
          <w:color w:val="222222"/>
        </w:rPr>
        <w:t xml:space="preserve">It makes so much sense. That brings us to Lesson Two: Create One Consistent, Authoritative Landing Site. June explains that public trust severely breaks down when people </w:t>
      </w:r>
      <w:proofErr w:type="gramStart"/>
      <w:r>
        <w:rPr>
          <w:rFonts w:ascii="Arial" w:hAnsi="Arial"/>
          <w:color w:val="222222"/>
        </w:rPr>
        <w:t>have to</w:t>
      </w:r>
      <w:proofErr w:type="gramEnd"/>
      <w:r>
        <w:rPr>
          <w:rFonts w:ascii="Arial" w:hAnsi="Arial"/>
          <w:color w:val="222222"/>
        </w:rPr>
        <w:t xml:space="preserve"> conduct an 'information scavenger hunt' across five different social media accounts, two separate maps, and a press conference just to verify a warning. The fix is to establish one known, branded, consistent landing site where people can reliably verify what they are being told, and then always publish that same message to that site.</w:t>
      </w:r>
    </w:p>
    <w:p w14:paraId="732732AE" w14:textId="77777777" w:rsidR="00AC1D92" w:rsidRDefault="00000000">
      <w:pPr>
        <w:spacing w:after="160"/>
      </w:pPr>
      <w:r>
        <w:rPr>
          <w:rFonts w:ascii="Arial" w:hAnsi="Arial"/>
          <w:b/>
          <w:color w:val="1B365D"/>
        </w:rPr>
        <w:t xml:space="preserve">Todd: </w:t>
      </w:r>
      <w:r>
        <w:rPr>
          <w:rFonts w:ascii="Arial" w:hAnsi="Arial"/>
          <w:color w:val="222222"/>
        </w:rPr>
        <w:t>Yes! And June emphasizes that this site must be linked from every single alert, social post, and press briefing. To make this landing site truly build confidence, June recommends that every single message be time-stamped, and—this is a key detail—always include the exact time for the next scheduled update, even if there is 'no change' in the situation. It prevents the anxiety of official silence. She also recommends including a dedicated, continuously updated 'Rumor vs. Fact' section directly on the landing page to rapidly bust myths in real-time, such as confirming 'We are NOT evacuating Hospital X' or 'This map screenshot is outdated—use this official link instead.'</w:t>
      </w:r>
    </w:p>
    <w:p w14:paraId="41D02BA8" w14:textId="77777777" w:rsidR="00AC1D92" w:rsidRDefault="00000000">
      <w:pPr>
        <w:spacing w:after="160"/>
      </w:pPr>
      <w:r>
        <w:rPr>
          <w:rFonts w:ascii="Arial" w:hAnsi="Arial"/>
          <w:b/>
          <w:color w:val="1B365D"/>
        </w:rPr>
        <w:t xml:space="preserve">Sarah: </w:t>
      </w:r>
      <w:r>
        <w:rPr>
          <w:rFonts w:ascii="Arial" w:hAnsi="Arial"/>
          <w:color w:val="222222"/>
        </w:rPr>
        <w:t>June provides a great example of this: the Los Angeles County recovery landing site during the 2025 wildfires. She notes that it was an excellent model of organized, one-stop recovery information. It included real-time tracking for Right of Entry forms, wildfire debris-removal parcel counts, color-coded aerial maps, structures marked by damage categories, and rebuilding resources. That kind of visibility turns trust from an abstract promise into a verifiable, practical tool.</w:t>
      </w:r>
    </w:p>
    <w:p w14:paraId="6A279BFA" w14:textId="77777777" w:rsidR="00AC1D92" w:rsidRDefault="00000000">
      <w:pPr>
        <w:spacing w:after="160"/>
      </w:pPr>
      <w:r>
        <w:rPr>
          <w:rFonts w:ascii="Arial" w:hAnsi="Arial"/>
          <w:b/>
          <w:color w:val="1B365D"/>
        </w:rPr>
        <w:lastRenderedPageBreak/>
        <w:t xml:space="preserve">Todd: </w:t>
      </w:r>
      <w:r>
        <w:rPr>
          <w:rFonts w:ascii="Arial" w:hAnsi="Arial"/>
          <w:color w:val="222222"/>
        </w:rPr>
        <w:t xml:space="preserve">It really does. Now, let's talk about Lesson Three: Make Alerts Reliable, Understandable, and Usable. June states that when alerts fail, trust breaks. When trust breaks, compliance drops. And when compliance drops, people die. And she warns that alert reliability failure is not hypothetical. She points to the December 2021 Marshall Fire in Boulder County, Colorado. Post-incident reporting based on county alert data found that as few as 1 in 5 recipients </w:t>
      </w:r>
      <w:proofErr w:type="gramStart"/>
      <w:r>
        <w:rPr>
          <w:rFonts w:ascii="Arial" w:hAnsi="Arial"/>
          <w:color w:val="222222"/>
        </w:rPr>
        <w:t>actually confirmed</w:t>
      </w:r>
      <w:proofErr w:type="gramEnd"/>
      <w:r>
        <w:rPr>
          <w:rFonts w:ascii="Arial" w:hAnsi="Arial"/>
          <w:color w:val="222222"/>
        </w:rPr>
        <w:t xml:space="preserve"> receiving the evacuation alerts. When official systems are unreliable, people turn to peers and private apps. For instance, during the January 2025 Eaton and Palisades fires in Los Angeles, people relied heavily on the private app Watch Duty because official alerts and information streams felt inconsistent, delayed, or hard to interpret. Watch Duty succeeded because it addressed public-facing problems by offering faster, clearer, map-based, and continuously updated information.</w:t>
      </w:r>
    </w:p>
    <w:p w14:paraId="0C97BEC2" w14:textId="77777777" w:rsidR="00AC1D92" w:rsidRDefault="00000000">
      <w:pPr>
        <w:spacing w:after="160"/>
      </w:pPr>
      <w:r>
        <w:rPr>
          <w:rFonts w:ascii="Arial" w:hAnsi="Arial"/>
          <w:b/>
          <w:color w:val="1B365D"/>
        </w:rPr>
        <w:t xml:space="preserve">Sarah: </w:t>
      </w:r>
      <w:r>
        <w:rPr>
          <w:rFonts w:ascii="Arial" w:hAnsi="Arial"/>
          <w:color w:val="222222"/>
        </w:rPr>
        <w:t xml:space="preserve">And to prevent this workaround, June advises that official alerts must be clear, actionable, and free of insider jargon. Shortcut terms like 'Level 1,' 'Zone 3,' or 'voluntary vs. mandatory' work fine within a tight circle of emergency professionals. But outside that circle, June explains, it's not communication—it's active exclusion. Plain language is how you include diverse populations. June recommends pre-scripting and user-testing plain-language templates in multiple languages and accessible formats with community partners and advisory groups before an emergency happens. We need to educate the public beforehand on what zones </w:t>
      </w:r>
      <w:proofErr w:type="gramStart"/>
      <w:r>
        <w:rPr>
          <w:rFonts w:ascii="Arial" w:hAnsi="Arial"/>
          <w:color w:val="222222"/>
        </w:rPr>
        <w:t>actually mean</w:t>
      </w:r>
      <w:proofErr w:type="gramEnd"/>
      <w:r>
        <w:rPr>
          <w:rFonts w:ascii="Arial" w:hAnsi="Arial"/>
          <w:color w:val="222222"/>
        </w:rPr>
        <w:t>, where the official map lives, and exactly what actions to take.</w:t>
      </w:r>
    </w:p>
    <w:p w14:paraId="347DD266" w14:textId="77777777" w:rsidR="00AC1D92" w:rsidRDefault="00000000">
      <w:pPr>
        <w:spacing w:after="160"/>
      </w:pPr>
      <w:r>
        <w:rPr>
          <w:rFonts w:ascii="Arial" w:hAnsi="Arial"/>
          <w:b/>
          <w:color w:val="1B365D"/>
        </w:rPr>
        <w:t xml:space="preserve">Todd: </w:t>
      </w:r>
      <w:r>
        <w:rPr>
          <w:rFonts w:ascii="Arial" w:hAnsi="Arial"/>
          <w:color w:val="222222"/>
        </w:rPr>
        <w:t>June also highlights neighborhood interdependence, which is such an important implementation detail. She recommends embedding a reminder in official alerts to check on neighbors, friends, and family. She explains that first helpers on the scene of a disaster are almost always neighbors, not official response personnel. There is a critical 'response gap' between the onset of a disaster and the arrival of official responders. But June provides a vital caution here: neighbor help is a critical reality, but it must never be used as an excuse by emergency management to skip inclusive planning or shirk their civil rights responsibilities.</w:t>
      </w:r>
    </w:p>
    <w:p w14:paraId="59FD5630" w14:textId="77777777" w:rsidR="00AC1D92" w:rsidRDefault="00000000">
      <w:pPr>
        <w:spacing w:after="160"/>
      </w:pPr>
      <w:r>
        <w:rPr>
          <w:rFonts w:ascii="Arial" w:hAnsi="Arial"/>
          <w:b/>
          <w:color w:val="1B365D"/>
        </w:rPr>
        <w:t xml:space="preserve">Sarah: </w:t>
      </w:r>
      <w:r>
        <w:rPr>
          <w:rFonts w:ascii="Arial" w:hAnsi="Arial"/>
          <w:color w:val="222222"/>
        </w:rPr>
        <w:t xml:space="preserve">Absolutely. To support that, June recommends establishing a monitored, two-way communication hotline staffed by humans. People need to know they aren't alone, especially if an alert disappeared from their phone or they don't understand the instructions. They should be able to call and ask a human: 'Are we in Zone X? Is Shelter Y wheelchair accessible?' And June notes that hotlines should offer callback options so people don't have to wait on long holds, which is vital because they may be trying to conserve limited phone </w:t>
      </w:r>
      <w:proofErr w:type="gramStart"/>
      <w:r>
        <w:rPr>
          <w:rFonts w:ascii="Arial" w:hAnsi="Arial"/>
          <w:color w:val="222222"/>
        </w:rPr>
        <w:t>battery</w:t>
      </w:r>
      <w:proofErr w:type="gramEnd"/>
      <w:r>
        <w:rPr>
          <w:rFonts w:ascii="Arial" w:hAnsi="Arial"/>
          <w:color w:val="222222"/>
        </w:rPr>
        <w:t xml:space="preserve"> during a power outage.</w:t>
      </w:r>
    </w:p>
    <w:p w14:paraId="66E0660C" w14:textId="77777777" w:rsidR="00AC1D92" w:rsidRDefault="00000000">
      <w:pPr>
        <w:spacing w:after="160"/>
      </w:pPr>
      <w:r>
        <w:rPr>
          <w:rFonts w:ascii="Arial" w:hAnsi="Arial"/>
          <w:b/>
          <w:color w:val="1B365D"/>
        </w:rPr>
        <w:t xml:space="preserve">Todd: </w:t>
      </w:r>
      <w:r>
        <w:rPr>
          <w:rFonts w:ascii="Arial" w:hAnsi="Arial"/>
          <w:color w:val="222222"/>
        </w:rPr>
        <w:t xml:space="preserve">And we </w:t>
      </w:r>
      <w:proofErr w:type="gramStart"/>
      <w:r>
        <w:rPr>
          <w:rFonts w:ascii="Arial" w:hAnsi="Arial"/>
          <w:color w:val="222222"/>
        </w:rPr>
        <w:t>have to</w:t>
      </w:r>
      <w:proofErr w:type="gramEnd"/>
      <w:r>
        <w:rPr>
          <w:rFonts w:ascii="Arial" w:hAnsi="Arial"/>
          <w:color w:val="222222"/>
        </w:rPr>
        <w:t xml:space="preserve"> build a 'trusted messenger network.' June believes that in many communities, trust flows through established relationships and local organizations that people regularly use, not government logos. June recommends formalizing partnerships with disability organizations, senior centers, faith groups, tenant groups, neighborhood councils, and mutual aid networks. Local governments can provide these trusted partners with verified updates, graphics, templates, and official links. As a force multiplier, these partners can rapidly disseminate culturally responsive, accessible information to people who are disproportionately impacted and whom official government channels might completely miss.</w:t>
      </w:r>
    </w:p>
    <w:p w14:paraId="49B7C8CE" w14:textId="77777777" w:rsidR="00AC1D92" w:rsidRDefault="00000000">
      <w:pPr>
        <w:spacing w:after="160"/>
      </w:pPr>
      <w:r>
        <w:rPr>
          <w:rFonts w:ascii="Arial" w:hAnsi="Arial"/>
          <w:b/>
          <w:color w:val="1B365D"/>
        </w:rPr>
        <w:t xml:space="preserve">Sarah: </w:t>
      </w:r>
      <w:r>
        <w:rPr>
          <w:rFonts w:ascii="Arial" w:hAnsi="Arial"/>
          <w:color w:val="222222"/>
        </w:rPr>
        <w:t xml:space="preserve">That brings us to Lesson Four: Own Mistakes Quickly and Correct Them. Silence or delayed communication regarding false alerts, or sharing new information without any context, severely damages public trust. June explains that a major reason for delayed corrections is a basic design failure: emergency agencies often lack a pre-planned, practiced method to quickly take back a false alert. But while it's a design failure, the public experiences it as an institutional failure. June cites two major examples of this: the January 2018 false missile alert in Hawaii, where it took 38 agonizing minutes to send a statewide Wireless Emergency Alert 'all-clear,' and the January 2025 Kenneth Fire in Los Angeles, where a false evacuation alert was mistakenly sent </w:t>
      </w:r>
      <w:r>
        <w:rPr>
          <w:rFonts w:ascii="Arial" w:hAnsi="Arial"/>
          <w:color w:val="222222"/>
        </w:rPr>
        <w:lastRenderedPageBreak/>
        <w:t xml:space="preserve">to nearly 10 million people across the county. It took 30 to 40 minutes for the correction to go out, it went out in disjointed pieces, and many </w:t>
      </w:r>
      <w:proofErr w:type="gramStart"/>
      <w:r>
        <w:rPr>
          <w:rFonts w:ascii="Arial" w:hAnsi="Arial"/>
          <w:color w:val="222222"/>
        </w:rPr>
        <w:t>people—</w:t>
      </w:r>
      <w:proofErr w:type="gramEnd"/>
      <w:r>
        <w:rPr>
          <w:rFonts w:ascii="Arial" w:hAnsi="Arial"/>
          <w:color w:val="222222"/>
        </w:rPr>
        <w:t xml:space="preserve">including June </w:t>
      </w:r>
      <w:proofErr w:type="gramStart"/>
      <w:r>
        <w:rPr>
          <w:rFonts w:ascii="Arial" w:hAnsi="Arial"/>
          <w:color w:val="222222"/>
        </w:rPr>
        <w:t>herself—</w:t>
      </w:r>
      <w:proofErr w:type="gramEnd"/>
      <w:r>
        <w:rPr>
          <w:rFonts w:ascii="Arial" w:hAnsi="Arial"/>
          <w:color w:val="222222"/>
        </w:rPr>
        <w:t>never even received the correction.</w:t>
      </w:r>
    </w:p>
    <w:p w14:paraId="2A9F56A3" w14:textId="77777777" w:rsidR="00AC1D92" w:rsidRDefault="00000000">
      <w:pPr>
        <w:spacing w:after="160"/>
      </w:pPr>
      <w:r>
        <w:rPr>
          <w:rFonts w:ascii="Arial" w:hAnsi="Arial"/>
          <w:b/>
          <w:color w:val="1B365D"/>
        </w:rPr>
        <w:t xml:space="preserve">Todd: </w:t>
      </w:r>
      <w:r>
        <w:rPr>
          <w:rFonts w:ascii="Arial" w:hAnsi="Arial"/>
          <w:color w:val="222222"/>
        </w:rPr>
        <w:t>It's terrifying to think about the panic that causes. To preserve trust, June urges agencies to pre-write and practice a standardized correction protocol. The template should say: 'An error was made at [time]. Correct information is [X]. If you did Y because of the error, do Z now. Here is what we are changing immediately.' She also recommends integrating 'confidence statements' into updates, such as explicitly marking facts as 'Confirmed,' 'Likely,' or 'Unconfirmed reports.' June states that people will tolerate uncertainty, but they will not tolerate false certainty. When government pretends to know more than it does, trust breaks completely.</w:t>
      </w:r>
    </w:p>
    <w:p w14:paraId="3DCB6FDA" w14:textId="77777777" w:rsidR="00AC1D92" w:rsidRDefault="00000000">
      <w:pPr>
        <w:spacing w:after="160"/>
      </w:pPr>
      <w:r>
        <w:rPr>
          <w:rFonts w:ascii="Arial" w:hAnsi="Arial"/>
          <w:b/>
          <w:color w:val="1B365D"/>
        </w:rPr>
        <w:t xml:space="preserve">Sarah: </w:t>
      </w:r>
      <w:r>
        <w:rPr>
          <w:rFonts w:ascii="Arial" w:hAnsi="Arial"/>
          <w:color w:val="222222"/>
        </w:rPr>
        <w:t xml:space="preserve">And this 'gray zone' of uncertainty applies directly to disaster data, like fatality rates. June argues that relying only on immediate, coroner-confirmed direct death counts fails to provide the full story. For example, during the January 2025 Los Angeles wildfires, the official direct count was 31 deaths. But a study published in JAMA estimated that there were </w:t>
      </w:r>
      <w:proofErr w:type="gramStart"/>
      <w:r>
        <w:rPr>
          <w:rFonts w:ascii="Arial" w:hAnsi="Arial"/>
          <w:color w:val="222222"/>
        </w:rPr>
        <w:t>actually around</w:t>
      </w:r>
      <w:proofErr w:type="gramEnd"/>
      <w:r>
        <w:rPr>
          <w:rFonts w:ascii="Arial" w:hAnsi="Arial"/>
          <w:color w:val="222222"/>
        </w:rPr>
        <w:t xml:space="preserve"> 440 excess deaths attributable to the wildfire </w:t>
      </w:r>
      <w:proofErr w:type="gramStart"/>
      <w:r>
        <w:rPr>
          <w:rFonts w:ascii="Arial" w:hAnsi="Arial"/>
          <w:color w:val="222222"/>
        </w:rPr>
        <w:t>period—</w:t>
      </w:r>
      <w:proofErr w:type="gramEnd"/>
      <w:r>
        <w:rPr>
          <w:rFonts w:ascii="Arial" w:hAnsi="Arial"/>
          <w:color w:val="222222"/>
        </w:rPr>
        <w:t>including smoke-aggravated heart and lung failures, displacement stress, and healthcare disruptions. June explains that when officials stick only to the initial confirmed direct numbers, later scientific estimates can make it look like a cover-up. Transparency about indirect deaths is essential because it supports life-safety and prevention. It justifies and resources critical interventions like clean-air shelters, mobile medication access, dialysis transport, targeted wellness checks, and temporary power services.</w:t>
      </w:r>
    </w:p>
    <w:p w14:paraId="408EC05B" w14:textId="77777777" w:rsidR="00AC1D92" w:rsidRDefault="00000000">
      <w:pPr>
        <w:spacing w:after="160"/>
      </w:pPr>
      <w:r>
        <w:rPr>
          <w:rFonts w:ascii="Arial" w:hAnsi="Arial"/>
          <w:b/>
          <w:color w:val="1B365D"/>
        </w:rPr>
        <w:t xml:space="preserve">Todd: </w:t>
      </w:r>
      <w:r>
        <w:rPr>
          <w:rFonts w:ascii="Arial" w:hAnsi="Arial"/>
          <w:color w:val="222222"/>
        </w:rPr>
        <w:t xml:space="preserve">That same need to communicate the 'gray zone' honestly applies to environmental recovery, too. June provides the example of post-fire soil scraping, where the upper six inches of soil in burned home footprints are scraped to a level of 'visibly clean' to remove immediate public health hazards. But she points out that the reality is far more complex. Deeper lead or contaminant hot spots can remain, and the EPA must sample below the excavation to see if deeper issues persist. June argues that if the public senses </w:t>
      </w:r>
      <w:proofErr w:type="gramStart"/>
      <w:r>
        <w:rPr>
          <w:rFonts w:ascii="Arial" w:hAnsi="Arial"/>
          <w:color w:val="222222"/>
        </w:rPr>
        <w:t>uncertainty</w:t>
      </w:r>
      <w:proofErr w:type="gramEnd"/>
      <w:r>
        <w:rPr>
          <w:rFonts w:ascii="Arial" w:hAnsi="Arial"/>
          <w:color w:val="222222"/>
        </w:rPr>
        <w:t xml:space="preserve"> but the government communicates absolute certainty, trust breaks. Leaders don't need to be all-knowing, but they must honestly share what is known, what is not known, what is being done to find out, and when the next update will occur. And June recommends translating jargon-heavy internal After-Action Reports, or AARs, into public, plain-language improvement trackers that clearly show: What worked, what failed, what is fixed now with dates, what is next with deadlines, and how future success will be measured.</w:t>
      </w:r>
    </w:p>
    <w:p w14:paraId="3F764BCF" w14:textId="77777777" w:rsidR="00AC1D92" w:rsidRDefault="00000000">
      <w:pPr>
        <w:spacing w:after="160"/>
      </w:pPr>
      <w:r>
        <w:rPr>
          <w:rFonts w:ascii="Arial" w:hAnsi="Arial"/>
          <w:b/>
          <w:color w:val="1B365D"/>
        </w:rPr>
        <w:t xml:space="preserve">Sarah: </w:t>
      </w:r>
      <w:r>
        <w:rPr>
          <w:rFonts w:ascii="Arial" w:hAnsi="Arial"/>
          <w:color w:val="222222"/>
        </w:rPr>
        <w:t xml:space="preserve">Exactly. It's about accountability. This brings us to our final area, Lesson Five: Make Trust Durable to Prevent Backsliding and System Decay. This is a massive issue. June states that even after years of hard work </w:t>
      </w:r>
      <w:proofErr w:type="gramStart"/>
      <w:r>
        <w:rPr>
          <w:rFonts w:ascii="Arial" w:hAnsi="Arial"/>
          <w:color w:val="222222"/>
        </w:rPr>
        <w:t>to implement</w:t>
      </w:r>
      <w:proofErr w:type="gramEnd"/>
      <w:r>
        <w:rPr>
          <w:rFonts w:ascii="Arial" w:hAnsi="Arial"/>
          <w:color w:val="222222"/>
        </w:rPr>
        <w:t xml:space="preserve"> key inclusive systems, these processes and policies frequently degrade or disappear due to changes in administration, leadership champions, and budgets. That backsliding is not just frustrating—it can be lethal.</w:t>
      </w:r>
    </w:p>
    <w:p w14:paraId="38471B7E" w14:textId="77777777" w:rsidR="00AC1D92" w:rsidRDefault="00000000">
      <w:pPr>
        <w:spacing w:after="160"/>
      </w:pPr>
      <w:r>
        <w:rPr>
          <w:rFonts w:ascii="Arial" w:hAnsi="Arial"/>
          <w:b/>
          <w:color w:val="1B365D"/>
        </w:rPr>
        <w:t xml:space="preserve">Todd: </w:t>
      </w:r>
      <w:r>
        <w:rPr>
          <w:rFonts w:ascii="Arial" w:hAnsi="Arial"/>
          <w:color w:val="222222"/>
        </w:rPr>
        <w:t xml:space="preserve">So how do we make trust durable? June explains that durability requires continuous, long-term monitoring. We </w:t>
      </w:r>
      <w:proofErr w:type="gramStart"/>
      <w:r>
        <w:rPr>
          <w:rFonts w:ascii="Arial" w:hAnsi="Arial"/>
          <w:color w:val="222222"/>
        </w:rPr>
        <w:t>have to</w:t>
      </w:r>
      <w:proofErr w:type="gramEnd"/>
      <w:r>
        <w:rPr>
          <w:rFonts w:ascii="Arial" w:hAnsi="Arial"/>
          <w:color w:val="222222"/>
        </w:rPr>
        <w:t xml:space="preserve"> evaluate whether applied lessons stay applied across consecutive reviews of plan updates, training, exercises, after-action reports, and audits. It means integrating improvement plan practices directly into formal budgets, contracts, and mutual aid agreements. It means treating the trusted messenger network not as a temporary, one-time public relations campaign, but as core operational infrastructure that must be funded and maintained through leadership transitions. June reminds us that trust flows through relationships, and relationships take time to build and sustain.</w:t>
      </w:r>
    </w:p>
    <w:p w14:paraId="1AF67BB4" w14:textId="77777777" w:rsidR="00AC1D92" w:rsidRDefault="00000000">
      <w:pPr>
        <w:spacing w:after="160"/>
      </w:pPr>
      <w:r>
        <w:rPr>
          <w:rFonts w:ascii="Arial" w:hAnsi="Arial"/>
          <w:b/>
          <w:color w:val="1B365D"/>
        </w:rPr>
        <w:t xml:space="preserve">Sarah: </w:t>
      </w:r>
      <w:r>
        <w:rPr>
          <w:rFonts w:ascii="Arial" w:hAnsi="Arial"/>
          <w:color w:val="222222"/>
        </w:rPr>
        <w:t xml:space="preserve">In closing, June's work challenges all of us—emergency managers, community organizers, advocates—to choose our role. June asks: What do you want to be? Will you be a trust damager who stays silent, doesn't speak up, and doesn't challenge failing systems? Or will you be a trust repairer and </w:t>
      </w:r>
      <w:r>
        <w:rPr>
          <w:rFonts w:ascii="Arial" w:hAnsi="Arial"/>
          <w:color w:val="222222"/>
        </w:rPr>
        <w:lastRenderedPageBreak/>
        <w:t xml:space="preserve">strengthener? A trust repairer speaks up, identifies what needs work, follows up to make sure the work </w:t>
      </w:r>
      <w:proofErr w:type="gramStart"/>
      <w:r>
        <w:rPr>
          <w:rFonts w:ascii="Arial" w:hAnsi="Arial"/>
          <w:color w:val="222222"/>
        </w:rPr>
        <w:t>actually gets</w:t>
      </w:r>
      <w:proofErr w:type="gramEnd"/>
      <w:r>
        <w:rPr>
          <w:rFonts w:ascii="Arial" w:hAnsi="Arial"/>
          <w:color w:val="222222"/>
        </w:rPr>
        <w:t xml:space="preserve"> done, and monitors to ensure that progress is sustained over time.</w:t>
      </w:r>
    </w:p>
    <w:p w14:paraId="7CF47470" w14:textId="77777777" w:rsidR="00AC1D92" w:rsidRDefault="00000000">
      <w:pPr>
        <w:spacing w:after="160"/>
      </w:pPr>
      <w:r>
        <w:rPr>
          <w:rFonts w:ascii="Arial" w:hAnsi="Arial"/>
          <w:b/>
          <w:color w:val="1B365D"/>
        </w:rPr>
        <w:t xml:space="preserve">Todd: </w:t>
      </w:r>
      <w:r>
        <w:rPr>
          <w:rFonts w:ascii="Arial" w:hAnsi="Arial"/>
          <w:color w:val="222222"/>
        </w:rPr>
        <w:t>And June beautifully captured this lifelong quest in a powerful statement she wrote in 2024: 'Being at the table is not enough. Don’t merely abide; lesser deeds will not turn the tide. Avoid the vague, puffy, and fluffy. Craft the actionable and the practical. Build partnership capability and expand capacity wide, let impact be your guide. Never settling for less, we strive for the best for ourselves and others on this lifelong quest.'</w:t>
      </w:r>
    </w:p>
    <w:p w14:paraId="4923FAE7" w14:textId="26A645EE" w:rsidR="00AC1D92" w:rsidRDefault="00000000">
      <w:pPr>
        <w:spacing w:after="160"/>
      </w:pPr>
      <w:r>
        <w:rPr>
          <w:rFonts w:ascii="Arial" w:hAnsi="Arial"/>
          <w:b/>
          <w:color w:val="1B365D"/>
        </w:rPr>
        <w:t xml:space="preserve">Sarah: </w:t>
      </w:r>
      <w:r>
        <w:rPr>
          <w:rFonts w:ascii="Arial" w:hAnsi="Arial"/>
          <w:color w:val="222222"/>
        </w:rPr>
        <w:t>A truly inspiring call to action. Additional resources, checklists, and tools are available on June's website at junekailes.com. Let me repeat that clearly so you can write it down:</w:t>
      </w:r>
      <w:r w:rsidR="006B69B3">
        <w:rPr>
          <w:rFonts w:ascii="Arial" w:hAnsi="Arial"/>
          <w:color w:val="222222"/>
        </w:rPr>
        <w:t xml:space="preserve"> </w:t>
      </w:r>
      <w:hyperlink r:id="rId8" w:history="1">
        <w:r w:rsidR="006B69B3" w:rsidRPr="006860F4">
          <w:rPr>
            <w:rStyle w:val="Hyperlink"/>
            <w:rFonts w:ascii="Arial" w:hAnsi="Arial"/>
          </w:rPr>
          <w:t>https://junekailes.com</w:t>
        </w:r>
      </w:hyperlink>
      <w:r>
        <w:rPr>
          <w:rFonts w:ascii="Arial" w:hAnsi="Arial"/>
          <w:color w:val="222222"/>
        </w:rPr>
        <w:t>. Be sure to check it out to access her trust quizzes and planning resources.</w:t>
      </w:r>
    </w:p>
    <w:p w14:paraId="045D4078" w14:textId="77777777" w:rsidR="00AC1D92" w:rsidRDefault="00000000">
      <w:pPr>
        <w:spacing w:after="160"/>
        <w:rPr>
          <w:rFonts w:ascii="Arial" w:hAnsi="Arial"/>
          <w:color w:val="222222"/>
        </w:rPr>
      </w:pPr>
      <w:r>
        <w:rPr>
          <w:rFonts w:ascii="Arial" w:hAnsi="Arial"/>
          <w:b/>
          <w:color w:val="1B365D"/>
        </w:rPr>
        <w:t xml:space="preserve">Todd: </w:t>
      </w:r>
      <w:r>
        <w:rPr>
          <w:rFonts w:ascii="Arial" w:hAnsi="Arial"/>
          <w:color w:val="222222"/>
        </w:rPr>
        <w:t>That's all for today's episode. Let's all strive to be trust repairers in our own communities. Thank you for listening, and we'll see you next time.</w:t>
      </w:r>
    </w:p>
    <w:p w14:paraId="4F36A3CE" w14:textId="77777777" w:rsidR="00781F9C" w:rsidRPr="00781F9C" w:rsidRDefault="00781F9C" w:rsidP="00781F9C"/>
    <w:p w14:paraId="1F24F409" w14:textId="77777777" w:rsidR="00781F9C" w:rsidRPr="00781F9C" w:rsidRDefault="00781F9C" w:rsidP="00781F9C"/>
    <w:p w14:paraId="50133FF3" w14:textId="77777777" w:rsidR="00781F9C" w:rsidRPr="00781F9C" w:rsidRDefault="00781F9C" w:rsidP="00781F9C"/>
    <w:p w14:paraId="647D1B3D" w14:textId="77777777" w:rsidR="00781F9C" w:rsidRPr="00781F9C" w:rsidRDefault="00781F9C" w:rsidP="00781F9C"/>
    <w:p w14:paraId="1EAAC1E1" w14:textId="77777777" w:rsidR="00781F9C" w:rsidRPr="00781F9C" w:rsidRDefault="00781F9C" w:rsidP="00781F9C"/>
    <w:p w14:paraId="06508A64" w14:textId="77777777" w:rsidR="00781F9C" w:rsidRPr="00781F9C" w:rsidRDefault="00781F9C" w:rsidP="00781F9C"/>
    <w:p w14:paraId="739183A4" w14:textId="77777777" w:rsidR="00781F9C" w:rsidRPr="00781F9C" w:rsidRDefault="00781F9C" w:rsidP="00781F9C"/>
    <w:p w14:paraId="70BFED40" w14:textId="77777777" w:rsidR="00781F9C" w:rsidRPr="00781F9C" w:rsidRDefault="00781F9C" w:rsidP="00781F9C"/>
    <w:p w14:paraId="554527E5" w14:textId="77777777" w:rsidR="00781F9C" w:rsidRPr="00781F9C" w:rsidRDefault="00781F9C" w:rsidP="00781F9C"/>
    <w:p w14:paraId="156CE54C" w14:textId="77777777" w:rsidR="00781F9C" w:rsidRPr="00781F9C" w:rsidRDefault="00781F9C" w:rsidP="00781F9C"/>
    <w:p w14:paraId="1A329580" w14:textId="77777777" w:rsidR="00781F9C" w:rsidRPr="00781F9C" w:rsidRDefault="00781F9C" w:rsidP="00781F9C"/>
    <w:p w14:paraId="491DFD60" w14:textId="77777777" w:rsidR="00781F9C" w:rsidRPr="00781F9C" w:rsidRDefault="00781F9C" w:rsidP="00781F9C"/>
    <w:p w14:paraId="4F3284AD" w14:textId="77777777" w:rsidR="00781F9C" w:rsidRPr="00781F9C" w:rsidRDefault="00781F9C" w:rsidP="00781F9C"/>
    <w:p w14:paraId="3165509A" w14:textId="77777777" w:rsidR="00781F9C" w:rsidRPr="00781F9C" w:rsidRDefault="00781F9C" w:rsidP="00781F9C"/>
    <w:p w14:paraId="0C646ED9" w14:textId="77777777" w:rsidR="00781F9C" w:rsidRPr="00781F9C" w:rsidRDefault="00781F9C" w:rsidP="00781F9C"/>
    <w:p w14:paraId="23B27531" w14:textId="77777777" w:rsidR="00781F9C" w:rsidRPr="00781F9C" w:rsidRDefault="00781F9C" w:rsidP="00781F9C"/>
    <w:p w14:paraId="7F941989" w14:textId="77777777" w:rsidR="00781F9C" w:rsidRPr="00781F9C" w:rsidRDefault="00781F9C" w:rsidP="00781F9C"/>
    <w:p w14:paraId="19D066A7" w14:textId="77777777" w:rsidR="00781F9C" w:rsidRPr="00781F9C" w:rsidRDefault="00781F9C" w:rsidP="00781F9C"/>
    <w:p w14:paraId="4B680414" w14:textId="77777777" w:rsidR="00781F9C" w:rsidRPr="00781F9C" w:rsidRDefault="00781F9C" w:rsidP="00781F9C"/>
    <w:p w14:paraId="466B4DB0" w14:textId="77777777" w:rsidR="00781F9C" w:rsidRPr="00781F9C" w:rsidRDefault="00781F9C" w:rsidP="00781F9C">
      <w:pPr>
        <w:jc w:val="center"/>
      </w:pPr>
    </w:p>
    <w:sectPr w:rsidR="00781F9C" w:rsidRPr="00781F9C" w:rsidSect="00AF1982">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BB5F3" w14:textId="77777777" w:rsidR="005857D0" w:rsidRDefault="005857D0">
      <w:pPr>
        <w:spacing w:after="0" w:line="240" w:lineRule="auto"/>
      </w:pPr>
      <w:r>
        <w:separator/>
      </w:r>
    </w:p>
  </w:endnote>
  <w:endnote w:type="continuationSeparator" w:id="0">
    <w:p w14:paraId="1A0E9292" w14:textId="77777777" w:rsidR="005857D0" w:rsidRDefault="00585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910C" w14:textId="77777777" w:rsidR="00781F9C" w:rsidRDefault="00781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38C9" w14:textId="36B4DBCC" w:rsidR="00AC1D92" w:rsidRPr="00781F9C" w:rsidRDefault="00AC1D92" w:rsidP="00781F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AD1C" w14:textId="77777777" w:rsidR="00781F9C" w:rsidRDefault="00781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E767C" w14:textId="77777777" w:rsidR="005857D0" w:rsidRDefault="005857D0">
      <w:pPr>
        <w:spacing w:after="0" w:line="240" w:lineRule="auto"/>
      </w:pPr>
      <w:r>
        <w:separator/>
      </w:r>
    </w:p>
  </w:footnote>
  <w:footnote w:type="continuationSeparator" w:id="0">
    <w:p w14:paraId="3E20AE25" w14:textId="77777777" w:rsidR="005857D0" w:rsidRDefault="00585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E2A8" w14:textId="77777777" w:rsidR="00781F9C" w:rsidRDefault="00781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5373" w14:textId="63750F0F" w:rsidR="002D19BD" w:rsidRPr="002D19BD" w:rsidRDefault="002D19BD">
    <w:pPr>
      <w:pStyle w:val="Header"/>
      <w:jc w:val="right"/>
      <w:rPr>
        <w:rFonts w:ascii="Arial" w:hAnsi="Arial" w:cs="Arial"/>
        <w:b/>
        <w:bCs/>
        <w:sz w:val="24"/>
        <w:szCs w:val="24"/>
      </w:rPr>
    </w:pPr>
    <w:r w:rsidRPr="002D19BD">
      <w:rPr>
        <w:rFonts w:ascii="Arial" w:hAnsi="Arial" w:cs="Arial"/>
        <w:sz w:val="24"/>
        <w:szCs w:val="24"/>
      </w:rPr>
      <w:t xml:space="preserve">Podcast Transcript: </w:t>
    </w:r>
    <w:r w:rsidRPr="002D19BD">
      <w:rPr>
        <w:rFonts w:ascii="Arial" w:hAnsi="Arial" w:cs="Arial"/>
        <w:sz w:val="24"/>
        <w:szCs w:val="24"/>
      </w:rPr>
      <w:t>Trusted Messages Result from Good Design</w:t>
    </w:r>
    <w:r w:rsidRPr="002D19BD">
      <w:rPr>
        <w:rFonts w:ascii="Arial" w:hAnsi="Arial" w:cs="Arial"/>
        <w:sz w:val="24"/>
        <w:szCs w:val="24"/>
      </w:rPr>
      <w:t xml:space="preserve">  </w:t>
    </w:r>
    <w:sdt>
      <w:sdtPr>
        <w:rPr>
          <w:rFonts w:ascii="Arial" w:hAnsi="Arial" w:cs="Arial"/>
          <w:sz w:val="24"/>
          <w:szCs w:val="24"/>
        </w:rPr>
        <w:id w:val="-1318336367"/>
        <w:docPartObj>
          <w:docPartGallery w:val="Page Numbers (Top of Page)"/>
          <w:docPartUnique/>
        </w:docPartObj>
      </w:sdtPr>
      <w:sdtEndPr>
        <w:rPr>
          <w:b/>
          <w:bCs/>
        </w:rPr>
      </w:sdtEndPr>
      <w:sdtContent>
        <w:r w:rsidRPr="002D19BD">
          <w:rPr>
            <w:rFonts w:ascii="Arial" w:hAnsi="Arial" w:cs="Arial"/>
            <w:b/>
            <w:bCs/>
            <w:sz w:val="24"/>
            <w:szCs w:val="24"/>
          </w:rPr>
          <w:t xml:space="preserve">Page </w:t>
        </w:r>
        <w:r w:rsidRPr="002D19BD">
          <w:rPr>
            <w:rFonts w:ascii="Arial" w:hAnsi="Arial" w:cs="Arial"/>
            <w:b/>
            <w:bCs/>
            <w:sz w:val="24"/>
            <w:szCs w:val="24"/>
          </w:rPr>
          <w:fldChar w:fldCharType="begin"/>
        </w:r>
        <w:r w:rsidRPr="002D19BD">
          <w:rPr>
            <w:rFonts w:ascii="Arial" w:hAnsi="Arial" w:cs="Arial"/>
            <w:b/>
            <w:bCs/>
            <w:sz w:val="24"/>
            <w:szCs w:val="24"/>
          </w:rPr>
          <w:instrText xml:space="preserve"> PAGE </w:instrText>
        </w:r>
        <w:r w:rsidRPr="002D19BD">
          <w:rPr>
            <w:rFonts w:ascii="Arial" w:hAnsi="Arial" w:cs="Arial"/>
            <w:b/>
            <w:bCs/>
            <w:sz w:val="24"/>
            <w:szCs w:val="24"/>
          </w:rPr>
          <w:fldChar w:fldCharType="separate"/>
        </w:r>
        <w:r w:rsidRPr="002D19BD">
          <w:rPr>
            <w:rFonts w:ascii="Arial" w:hAnsi="Arial" w:cs="Arial"/>
            <w:b/>
            <w:bCs/>
            <w:noProof/>
            <w:sz w:val="24"/>
            <w:szCs w:val="24"/>
          </w:rPr>
          <w:t>2</w:t>
        </w:r>
        <w:r w:rsidRPr="002D19BD">
          <w:rPr>
            <w:rFonts w:ascii="Arial" w:hAnsi="Arial" w:cs="Arial"/>
            <w:b/>
            <w:bCs/>
            <w:sz w:val="24"/>
            <w:szCs w:val="24"/>
          </w:rPr>
          <w:fldChar w:fldCharType="end"/>
        </w:r>
        <w:r w:rsidRPr="002D19BD">
          <w:rPr>
            <w:rFonts w:ascii="Arial" w:hAnsi="Arial" w:cs="Arial"/>
            <w:b/>
            <w:bCs/>
            <w:sz w:val="24"/>
            <w:szCs w:val="24"/>
          </w:rPr>
          <w:t xml:space="preserve"> of </w:t>
        </w:r>
        <w:r w:rsidRPr="002D19BD">
          <w:rPr>
            <w:rFonts w:ascii="Arial" w:hAnsi="Arial" w:cs="Arial"/>
            <w:b/>
            <w:bCs/>
            <w:sz w:val="24"/>
            <w:szCs w:val="24"/>
          </w:rPr>
          <w:fldChar w:fldCharType="begin"/>
        </w:r>
        <w:r w:rsidRPr="002D19BD">
          <w:rPr>
            <w:rFonts w:ascii="Arial" w:hAnsi="Arial" w:cs="Arial"/>
            <w:b/>
            <w:bCs/>
            <w:sz w:val="24"/>
            <w:szCs w:val="24"/>
          </w:rPr>
          <w:instrText xml:space="preserve"> NUMPAGES  </w:instrText>
        </w:r>
        <w:r w:rsidRPr="002D19BD">
          <w:rPr>
            <w:rFonts w:ascii="Arial" w:hAnsi="Arial" w:cs="Arial"/>
            <w:b/>
            <w:bCs/>
            <w:sz w:val="24"/>
            <w:szCs w:val="24"/>
          </w:rPr>
          <w:fldChar w:fldCharType="separate"/>
        </w:r>
        <w:r w:rsidRPr="002D19BD">
          <w:rPr>
            <w:rFonts w:ascii="Arial" w:hAnsi="Arial" w:cs="Arial"/>
            <w:b/>
            <w:bCs/>
            <w:noProof/>
            <w:sz w:val="24"/>
            <w:szCs w:val="24"/>
          </w:rPr>
          <w:t>2</w:t>
        </w:r>
        <w:r w:rsidRPr="002D19BD">
          <w:rPr>
            <w:rFonts w:ascii="Arial" w:hAnsi="Arial" w:cs="Arial"/>
            <w:b/>
            <w:bCs/>
            <w:sz w:val="24"/>
            <w:szCs w:val="24"/>
          </w:rPr>
          <w:fldChar w:fldCharType="end"/>
        </w:r>
      </w:sdtContent>
    </w:sdt>
  </w:p>
  <w:p w14:paraId="303A94A6" w14:textId="7D5BCFD0" w:rsidR="00AC1D92" w:rsidRDefault="00AC1D9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4A34" w14:textId="77777777" w:rsidR="00781F9C" w:rsidRDefault="00781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2835276">
    <w:abstractNumId w:val="8"/>
  </w:num>
  <w:num w:numId="2" w16cid:durableId="1270358923">
    <w:abstractNumId w:val="6"/>
  </w:num>
  <w:num w:numId="3" w16cid:durableId="1180310901">
    <w:abstractNumId w:val="5"/>
  </w:num>
  <w:num w:numId="4" w16cid:durableId="808009622">
    <w:abstractNumId w:val="4"/>
  </w:num>
  <w:num w:numId="5" w16cid:durableId="1799255086">
    <w:abstractNumId w:val="7"/>
  </w:num>
  <w:num w:numId="6" w16cid:durableId="26612245">
    <w:abstractNumId w:val="3"/>
  </w:num>
  <w:num w:numId="7" w16cid:durableId="665744482">
    <w:abstractNumId w:val="2"/>
  </w:num>
  <w:num w:numId="8" w16cid:durableId="781413048">
    <w:abstractNumId w:val="1"/>
  </w:num>
  <w:num w:numId="9" w16cid:durableId="77058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19BD"/>
    <w:rsid w:val="00317CFE"/>
    <w:rsid w:val="00326F90"/>
    <w:rsid w:val="00410984"/>
    <w:rsid w:val="0054298A"/>
    <w:rsid w:val="005857D0"/>
    <w:rsid w:val="005D3AC8"/>
    <w:rsid w:val="006B69B3"/>
    <w:rsid w:val="00781F9C"/>
    <w:rsid w:val="00AA1D8D"/>
    <w:rsid w:val="00AC1D92"/>
    <w:rsid w:val="00AF1982"/>
    <w:rsid w:val="00B47730"/>
    <w:rsid w:val="00CB0664"/>
    <w:rsid w:val="00D934F3"/>
    <w:rsid w:val="00E811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479E81"/>
  <w14:defaultImageDpi w14:val="300"/>
  <w15:docId w15:val="{15C37210-78C1-47E1-9BCE-927788A0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B69B3"/>
    <w:rPr>
      <w:color w:val="0000FF" w:themeColor="hyperlink"/>
      <w:u w:val="single"/>
    </w:rPr>
  </w:style>
  <w:style w:type="character" w:styleId="UnresolvedMention">
    <w:name w:val="Unresolved Mention"/>
    <w:basedOn w:val="DefaultParagraphFont"/>
    <w:uiPriority w:val="99"/>
    <w:semiHidden/>
    <w:unhideWhenUsed/>
    <w:rsid w:val="006B6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nekaile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2545</Words>
  <Characters>14508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June Kailes</cp:lastModifiedBy>
  <cp:revision>6</cp:revision>
  <dcterms:created xsi:type="dcterms:W3CDTF">2013-12-23T23:15:00Z</dcterms:created>
  <dcterms:modified xsi:type="dcterms:W3CDTF">2026-10-08T17:35:00Z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7cfb7926-24fd-4f24-8ee2-02e013b9b941</vt:lpwstr>
  </property>
</Properties>
</file>